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2138061947"/>
        <w:docPartObj>
          <w:docPartGallery w:val="Cover Pages"/>
          <w:docPartUnique/>
        </w:docPartObj>
      </w:sdtPr>
      <w:sdtEndPr/>
      <w:sdtContent>
        <w:p w14:paraId="0BB9B167" w14:textId="77777777" w:rsidR="00733E8B" w:rsidRDefault="00733E8B" w:rsidP="00733E8B">
          <w:pPr>
            <w:jc w:val="center"/>
          </w:pPr>
        </w:p>
        <w:p w14:paraId="7EDDBF7D" w14:textId="77777777" w:rsidR="00733E8B" w:rsidRDefault="00733E8B" w:rsidP="00733E8B">
          <w:pPr>
            <w:jc w:val="center"/>
          </w:pPr>
        </w:p>
        <w:p w14:paraId="7B216618" w14:textId="77777777" w:rsidR="00733E8B" w:rsidRDefault="00733E8B" w:rsidP="00733E8B">
          <w:pPr>
            <w:jc w:val="center"/>
          </w:pPr>
        </w:p>
        <w:p w14:paraId="554EA911" w14:textId="77777777" w:rsidR="00733E8B" w:rsidRDefault="00733E8B" w:rsidP="00733E8B">
          <w:pPr>
            <w:jc w:val="center"/>
          </w:pPr>
        </w:p>
        <w:p w14:paraId="5CCFCFF1" w14:textId="77777777" w:rsidR="00733E8B" w:rsidRDefault="00733E8B" w:rsidP="00733E8B">
          <w:pPr>
            <w:jc w:val="center"/>
          </w:pPr>
        </w:p>
        <w:p w14:paraId="0146398F" w14:textId="77777777" w:rsidR="00733E8B" w:rsidRDefault="00733E8B" w:rsidP="00733E8B">
          <w:pPr>
            <w:jc w:val="center"/>
          </w:pPr>
        </w:p>
        <w:p w14:paraId="654514EB" w14:textId="77777777" w:rsidR="00733E8B" w:rsidRDefault="00733E8B" w:rsidP="00733E8B">
          <w:pPr>
            <w:jc w:val="center"/>
          </w:pPr>
        </w:p>
        <w:p w14:paraId="0EBB3727" w14:textId="77777777" w:rsidR="00733E8B" w:rsidRDefault="00733E8B" w:rsidP="00733E8B">
          <w:pPr>
            <w:jc w:val="center"/>
          </w:pPr>
        </w:p>
        <w:p w14:paraId="03A173AB" w14:textId="77777777" w:rsidR="00733E8B" w:rsidRDefault="00733E8B" w:rsidP="00733E8B">
          <w:pPr>
            <w:jc w:val="center"/>
          </w:pPr>
        </w:p>
        <w:p w14:paraId="01512E27" w14:textId="77777777" w:rsidR="00733E8B" w:rsidRDefault="00733E8B" w:rsidP="00733E8B">
          <w:pPr>
            <w:jc w:val="center"/>
          </w:pPr>
        </w:p>
        <w:p w14:paraId="7D92CD74" w14:textId="77777777" w:rsidR="00733E8B" w:rsidRDefault="00733E8B" w:rsidP="00733E8B">
          <w:pPr>
            <w:jc w:val="center"/>
          </w:pPr>
        </w:p>
        <w:p w14:paraId="62BD72AA" w14:textId="77777777" w:rsidR="00733E8B" w:rsidRDefault="00733E8B" w:rsidP="00733E8B">
          <w:pPr>
            <w:jc w:val="center"/>
          </w:pPr>
        </w:p>
        <w:tbl>
          <w:tblPr>
            <w:tblStyle w:val="TableNormal"/>
            <w:tblW w:w="10772" w:type="dxa"/>
            <w:tblInd w:w="-629" w:type="dxa"/>
            <w:tbl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  <w:insideH w:val="single" w:sz="8" w:space="0" w:color="FFFFFF"/>
              <w:insideV w:val="single" w:sz="8" w:space="0" w:color="FFFFFF"/>
            </w:tblBorders>
            <w:shd w:val="clear" w:color="auto" w:fill="D0DDEF"/>
            <w:tblLayout w:type="fixed"/>
            <w:tblLook w:val="04A0" w:firstRow="1" w:lastRow="0" w:firstColumn="1" w:lastColumn="0" w:noHBand="0" w:noVBand="1"/>
          </w:tblPr>
          <w:tblGrid>
            <w:gridCol w:w="1021"/>
            <w:gridCol w:w="1749"/>
            <w:gridCol w:w="5596"/>
            <w:gridCol w:w="1385"/>
            <w:gridCol w:w="1021"/>
          </w:tblGrid>
          <w:tr w:rsidR="00925D31" w14:paraId="3624069D" w14:textId="77777777" w:rsidTr="00925D31">
            <w:trPr>
              <w:trHeight w:hRule="exact" w:val="665"/>
            </w:trPr>
            <w:tc>
              <w:tcPr>
                <w:tcW w:w="10772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964591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F76A850" w14:textId="2847EBD5" w:rsidR="00925D31" w:rsidRDefault="00925D31" w:rsidP="00AF3AF7">
                <w:pPr>
                  <w:pStyle w:val="Text"/>
                  <w:jc w:val="center"/>
                </w:pPr>
                <w:r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>P1</w:t>
                </w:r>
                <w:r w:rsidR="00173195"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>.</w:t>
                </w:r>
                <w:r>
                  <w:rPr>
                    <w:color w:val="FFFFFF"/>
                    <w:sz w:val="48"/>
                    <w:szCs w:val="48"/>
                    <w:u w:color="FFFFFF"/>
                    <w:lang w:val="en-US"/>
                  </w:rPr>
                  <w:t xml:space="preserve"> BILANCE </w:t>
                </w:r>
              </w:p>
            </w:tc>
          </w:tr>
          <w:tr w:rsidR="00925D31" w14:paraId="72B2352A" w14:textId="77777777" w:rsidTr="00925D31">
            <w:trPr>
              <w:trHeight w:hRule="exact" w:val="1323"/>
            </w:trPr>
            <w:tc>
              <w:tcPr>
                <w:tcW w:w="10772" w:type="dxa"/>
                <w:gridSpan w:val="5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1F1E9120" w14:textId="1A12DA0E" w:rsidR="00925D31" w:rsidRDefault="00925D31" w:rsidP="00925D31">
                <w:pPr>
                  <w:pStyle w:val="Text"/>
                  <w:jc w:val="center"/>
                </w:pPr>
                <w:r>
                  <w:rPr>
                    <w:lang w:val="en-US"/>
                  </w:rPr>
                  <w:t xml:space="preserve">PROJEKTOVÁ DOKUMENTACE </w:t>
                </w:r>
                <w:r w:rsidR="00100A89">
                  <w:rPr>
                    <w:lang w:val="en-US"/>
                  </w:rPr>
                  <w:t xml:space="preserve">PRO </w:t>
                </w:r>
                <w:r w:rsidR="00103C03">
                  <w:rPr>
                    <w:lang w:val="en-US"/>
                  </w:rPr>
                  <w:t>PROVEDENÍ STAVBY</w:t>
                </w:r>
                <w:r>
                  <w:rPr>
                    <w:lang w:val="en-US"/>
                  </w:rPr>
                  <w:t xml:space="preserve"> (</w:t>
                </w:r>
                <w:r w:rsidR="00100A89">
                  <w:rPr>
                    <w:lang w:val="en-US"/>
                  </w:rPr>
                  <w:t>D</w:t>
                </w:r>
                <w:r w:rsidR="00103C03">
                  <w:rPr>
                    <w:lang w:val="en-US"/>
                  </w:rPr>
                  <w:t>PS</w:t>
                </w:r>
                <w:r>
                  <w:rPr>
                    <w:lang w:val="en-US"/>
                  </w:rPr>
                  <w:t>)</w:t>
                </w:r>
              </w:p>
            </w:tc>
          </w:tr>
          <w:tr w:rsidR="00925D31" w14:paraId="548CF4A0" w14:textId="77777777" w:rsidTr="00925D31">
            <w:trPr>
              <w:trHeight w:hRule="exact" w:val="333"/>
            </w:trPr>
            <w:tc>
              <w:tcPr>
                <w:tcW w:w="1021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9AE8378" w14:textId="77777777" w:rsidR="00925D31" w:rsidRDefault="00925D31" w:rsidP="00AF3AF7"/>
            </w:tc>
            <w:tc>
              <w:tcPr>
                <w:tcW w:w="1749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76F66C21" w14:textId="61DAB2ED" w:rsidR="00925D31" w:rsidRDefault="00103C03" w:rsidP="00AF3AF7">
                <w:pPr>
                  <w:pStyle w:val="Text"/>
                </w:pPr>
                <w:r>
                  <w:rPr>
                    <w:b/>
                    <w:bCs/>
                    <w:sz w:val="24"/>
                    <w:szCs w:val="24"/>
                    <w:lang w:val="en-US"/>
                  </w:rPr>
                  <w:t>KVĚTEN</w:t>
                </w:r>
                <w:r w:rsidR="00465461">
                  <w:rPr>
                    <w:b/>
                    <w:bCs/>
                    <w:sz w:val="24"/>
                    <w:szCs w:val="24"/>
                    <w:lang w:val="en-US"/>
                  </w:rPr>
                  <w:t xml:space="preserve"> </w:t>
                </w:r>
                <w:r w:rsidR="00925D31">
                  <w:rPr>
                    <w:b/>
                    <w:bCs/>
                    <w:sz w:val="24"/>
                    <w:szCs w:val="24"/>
                    <w:lang w:val="en-US"/>
                  </w:rPr>
                  <w:t>202</w:t>
                </w:r>
                <w:r>
                  <w:rPr>
                    <w:b/>
                    <w:bCs/>
                    <w:sz w:val="24"/>
                    <w:szCs w:val="24"/>
                    <w:lang w:val="en-US"/>
                  </w:rPr>
                  <w:t>4</w:t>
                </w:r>
              </w:p>
            </w:tc>
            <w:tc>
              <w:tcPr>
                <w:tcW w:w="5596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69F3083" w14:textId="77777777" w:rsidR="00925D31" w:rsidRDefault="00925D31" w:rsidP="00AF3AF7">
                <w:pPr>
                  <w:pStyle w:val="Text"/>
                  <w:jc w:val="center"/>
                </w:pPr>
                <w:r>
                  <w:rPr>
                    <w:b/>
                    <w:bCs/>
                    <w:sz w:val="24"/>
                    <w:szCs w:val="24"/>
                    <w:lang w:val="en-US"/>
                  </w:rPr>
                  <w:t>Ing. Matěj Pečenka</w:t>
                </w:r>
              </w:p>
            </w:tc>
            <w:tc>
              <w:tcPr>
                <w:tcW w:w="1385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414FB9E" w14:textId="62313072" w:rsidR="00925D31" w:rsidRDefault="00925D31" w:rsidP="00AF3AF7">
                <w:pPr>
                  <w:pStyle w:val="Text"/>
                  <w:jc w:val="right"/>
                </w:pPr>
              </w:p>
            </w:tc>
            <w:tc>
              <w:tcPr>
                <w:tcW w:w="1021" w:type="dxa"/>
                <w:tcBorders>
                  <w:top w:val="nil"/>
                  <w:left w:val="nil"/>
                  <w:bottom w:val="single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40590B3" w14:textId="77777777" w:rsidR="00925D31" w:rsidRDefault="00925D31" w:rsidP="00AF3AF7"/>
            </w:tc>
          </w:tr>
          <w:tr w:rsidR="00925D31" w14:paraId="3C045CB8" w14:textId="77777777" w:rsidTr="00925D31">
            <w:trPr>
              <w:trHeight w:hRule="exact" w:val="280"/>
            </w:trPr>
            <w:tc>
              <w:tcPr>
                <w:tcW w:w="1021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3E91708C" w14:textId="77777777" w:rsidR="00925D31" w:rsidRDefault="00925D31" w:rsidP="00AF3AF7"/>
            </w:tc>
            <w:tc>
              <w:tcPr>
                <w:tcW w:w="1749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C977D34" w14:textId="77777777" w:rsidR="00925D31" w:rsidRDefault="00925D31" w:rsidP="00AF3AF7">
                <w:pPr>
                  <w:pStyle w:val="Text"/>
                </w:pPr>
                <w:r>
                  <w:rPr>
                    <w:sz w:val="18"/>
                    <w:szCs w:val="18"/>
                    <w:lang w:val="en-US"/>
                  </w:rPr>
                  <w:t>DATUM</w:t>
                </w:r>
              </w:p>
            </w:tc>
            <w:tc>
              <w:tcPr>
                <w:tcW w:w="5596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AAB25A3" w14:textId="77777777" w:rsidR="00925D31" w:rsidRDefault="00925D31" w:rsidP="00AF3AF7">
                <w:pPr>
                  <w:pStyle w:val="Text"/>
                  <w:jc w:val="center"/>
                </w:pPr>
                <w:r>
                  <w:rPr>
                    <w:sz w:val="18"/>
                    <w:szCs w:val="18"/>
                    <w:lang w:val="en-US"/>
                  </w:rPr>
                  <w:t>VYPRACOVAL</w:t>
                </w:r>
              </w:p>
            </w:tc>
            <w:tc>
              <w:tcPr>
                <w:tcW w:w="1385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62CF8780" w14:textId="77777777" w:rsidR="00925D31" w:rsidRDefault="00925D31" w:rsidP="00AF3AF7">
                <w:pPr>
                  <w:pStyle w:val="Text"/>
                  <w:jc w:val="right"/>
                </w:pPr>
                <w:r>
                  <w:rPr>
                    <w:sz w:val="18"/>
                    <w:szCs w:val="18"/>
                    <w:lang w:val="en-US"/>
                  </w:rPr>
                  <w:t>REVIZE</w:t>
                </w:r>
              </w:p>
            </w:tc>
            <w:tc>
              <w:tcPr>
                <w:tcW w:w="1021" w:type="dxa"/>
                <w:tcBorders>
                  <w:top w:val="single" w:sz="4" w:space="0" w:color="964591"/>
                  <w:left w:val="nil"/>
                  <w:bottom w:val="nil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4E8E168F" w14:textId="77777777" w:rsidR="00925D31" w:rsidRDefault="00925D31" w:rsidP="00AF3AF7"/>
            </w:tc>
          </w:tr>
          <w:tr w:rsidR="00925D31" w14:paraId="70960D04" w14:textId="77777777" w:rsidTr="00925D31">
            <w:trPr>
              <w:trHeight w:hRule="exact" w:val="1087"/>
            </w:trPr>
            <w:tc>
              <w:tcPr>
                <w:tcW w:w="10772" w:type="dxa"/>
                <w:gridSpan w:val="5"/>
                <w:tcBorders>
                  <w:top w:val="nil"/>
                  <w:left w:val="nil"/>
                  <w:bottom w:val="dotted" w:sz="4" w:space="0" w:color="964591"/>
                  <w:right w:val="nil"/>
                </w:tcBorders>
                <w:shd w:val="clear" w:color="auto" w:fill="auto"/>
                <w:tcMar>
                  <w:top w:w="80" w:type="dxa"/>
                  <w:left w:w="80" w:type="dxa"/>
                  <w:bottom w:w="80" w:type="dxa"/>
                  <w:right w:w="80" w:type="dxa"/>
                </w:tcMar>
                <w:vAlign w:val="center"/>
              </w:tcPr>
              <w:p w14:paraId="0E65C07C" w14:textId="77777777" w:rsidR="00925D31" w:rsidRDefault="00925D31" w:rsidP="00AF3AF7"/>
            </w:tc>
          </w:tr>
        </w:tbl>
        <w:p w14:paraId="0DFC811E" w14:textId="2AF21465" w:rsidR="00925D31" w:rsidRDefault="00925D31" w:rsidP="00925D31">
          <w:pPr>
            <w:sectPr w:rsidR="00925D31" w:rsidSect="00920EE4">
              <w:headerReference w:type="default" r:id="rId8"/>
              <w:footerReference w:type="default" r:id="rId9"/>
              <w:pgSz w:w="11906" w:h="16838"/>
              <w:pgMar w:top="1418" w:right="1417" w:bottom="1417" w:left="1276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4217485B" w14:textId="406DF22A" w:rsidR="00FF686B" w:rsidRPr="00920EE4" w:rsidRDefault="00103C03" w:rsidP="00920EE4"/>
      </w:sdtContent>
    </w:sdt>
    <w:sdt>
      <w:sdtPr>
        <w:rPr>
          <w:rFonts w:ascii="Technika Light" w:eastAsiaTheme="minorHAnsi" w:hAnsi="Technika Light" w:cstheme="minorBidi"/>
          <w:spacing w:val="0"/>
          <w:kern w:val="0"/>
          <w:sz w:val="22"/>
          <w:szCs w:val="22"/>
        </w:rPr>
        <w:id w:val="-19059810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584CE91" w14:textId="5D091FD6" w:rsidR="001C181F" w:rsidRDefault="001C181F" w:rsidP="00920EE4">
          <w:pPr>
            <w:pStyle w:val="Nzev"/>
          </w:pPr>
          <w:r>
            <w:t>Obsah</w:t>
          </w:r>
        </w:p>
        <w:p w14:paraId="2750B0A4" w14:textId="2DBD42C2" w:rsidR="00403B60" w:rsidRDefault="001C181F">
          <w:pPr>
            <w:pStyle w:val="Obsah1"/>
            <w:tabs>
              <w:tab w:val="left" w:pos="440"/>
              <w:tab w:val="right" w:leader="dot" w:pos="9203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5303580" w:history="1">
            <w:r w:rsidR="00403B60" w:rsidRPr="00EE58AA">
              <w:rPr>
                <w:rStyle w:val="Hypertextovodkaz"/>
                <w:noProof/>
              </w:rPr>
              <w:t>1</w:t>
            </w:r>
            <w:r w:rsidR="00403B60">
              <w:rPr>
                <w:rFonts w:asciiTheme="minorHAnsi" w:eastAsiaTheme="minorEastAsia" w:hAnsiTheme="minorHAnsi"/>
                <w:noProof/>
                <w:kern w:val="2"/>
                <w:lang w:eastAsia="cs-CZ"/>
                <w14:ligatures w14:val="standardContextual"/>
              </w:rPr>
              <w:tab/>
            </w:r>
            <w:r w:rsidR="00403B60" w:rsidRPr="00EE58AA">
              <w:rPr>
                <w:rStyle w:val="Hypertextovodkaz"/>
                <w:noProof/>
              </w:rPr>
              <w:t>Bilance potřeby pitné vody</w:t>
            </w:r>
            <w:r w:rsidR="00403B60">
              <w:rPr>
                <w:noProof/>
                <w:webHidden/>
              </w:rPr>
              <w:tab/>
            </w:r>
            <w:r w:rsidR="00403B60">
              <w:rPr>
                <w:noProof/>
                <w:webHidden/>
              </w:rPr>
              <w:fldChar w:fldCharType="begin"/>
            </w:r>
            <w:r w:rsidR="00403B60">
              <w:rPr>
                <w:noProof/>
                <w:webHidden/>
              </w:rPr>
              <w:instrText xml:space="preserve"> PAGEREF _Toc135303580 \h </w:instrText>
            </w:r>
            <w:r w:rsidR="00403B60">
              <w:rPr>
                <w:noProof/>
                <w:webHidden/>
              </w:rPr>
            </w:r>
            <w:r w:rsidR="00403B60">
              <w:rPr>
                <w:noProof/>
                <w:webHidden/>
              </w:rPr>
              <w:fldChar w:fldCharType="separate"/>
            </w:r>
            <w:r w:rsidR="00C455AB">
              <w:rPr>
                <w:noProof/>
                <w:webHidden/>
              </w:rPr>
              <w:t>1</w:t>
            </w:r>
            <w:r w:rsidR="00403B60">
              <w:rPr>
                <w:noProof/>
                <w:webHidden/>
              </w:rPr>
              <w:fldChar w:fldCharType="end"/>
            </w:r>
          </w:hyperlink>
        </w:p>
        <w:p w14:paraId="5D9545E3" w14:textId="1A200A7E" w:rsidR="00403B60" w:rsidRDefault="00103C03">
          <w:pPr>
            <w:pStyle w:val="Obsah2"/>
            <w:tabs>
              <w:tab w:val="left" w:pos="880"/>
              <w:tab w:val="right" w:leader="dot" w:pos="9203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35303581" w:history="1">
            <w:r w:rsidR="00403B60" w:rsidRPr="00EE58AA">
              <w:rPr>
                <w:rStyle w:val="Hypertextovodkaz"/>
                <w:noProof/>
              </w:rPr>
              <w:t>1.1</w:t>
            </w:r>
            <w:r w:rsidR="00403B60">
              <w:rPr>
                <w:rFonts w:asciiTheme="minorHAnsi" w:eastAsiaTheme="minorEastAsia" w:hAnsiTheme="minorHAnsi"/>
                <w:noProof/>
                <w:kern w:val="2"/>
                <w:lang w:eastAsia="cs-CZ"/>
                <w14:ligatures w14:val="standardContextual"/>
              </w:rPr>
              <w:tab/>
            </w:r>
            <w:r w:rsidR="00403B60" w:rsidRPr="00EE58AA">
              <w:rPr>
                <w:rStyle w:val="Hypertextovodkaz"/>
                <w:noProof/>
              </w:rPr>
              <w:t>Průměrná denní potřeba vody</w:t>
            </w:r>
            <w:r w:rsidR="00403B60">
              <w:rPr>
                <w:noProof/>
                <w:webHidden/>
              </w:rPr>
              <w:tab/>
            </w:r>
            <w:r w:rsidR="00403B60">
              <w:rPr>
                <w:noProof/>
                <w:webHidden/>
              </w:rPr>
              <w:fldChar w:fldCharType="begin"/>
            </w:r>
            <w:r w:rsidR="00403B60">
              <w:rPr>
                <w:noProof/>
                <w:webHidden/>
              </w:rPr>
              <w:instrText xml:space="preserve"> PAGEREF _Toc135303581 \h </w:instrText>
            </w:r>
            <w:r w:rsidR="00403B60">
              <w:rPr>
                <w:noProof/>
                <w:webHidden/>
              </w:rPr>
            </w:r>
            <w:r w:rsidR="00403B60">
              <w:rPr>
                <w:noProof/>
                <w:webHidden/>
              </w:rPr>
              <w:fldChar w:fldCharType="separate"/>
            </w:r>
            <w:r w:rsidR="00C455AB">
              <w:rPr>
                <w:noProof/>
                <w:webHidden/>
              </w:rPr>
              <w:t>1</w:t>
            </w:r>
            <w:r w:rsidR="00403B60">
              <w:rPr>
                <w:noProof/>
                <w:webHidden/>
              </w:rPr>
              <w:fldChar w:fldCharType="end"/>
            </w:r>
          </w:hyperlink>
        </w:p>
        <w:p w14:paraId="42A70C27" w14:textId="49705ECE" w:rsidR="00403B60" w:rsidRDefault="00103C03">
          <w:pPr>
            <w:pStyle w:val="Obsah2"/>
            <w:tabs>
              <w:tab w:val="left" w:pos="880"/>
              <w:tab w:val="right" w:leader="dot" w:pos="9203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35303582" w:history="1">
            <w:r w:rsidR="00403B60" w:rsidRPr="00EE58AA">
              <w:rPr>
                <w:rStyle w:val="Hypertextovodkaz"/>
                <w:noProof/>
              </w:rPr>
              <w:t>1.2</w:t>
            </w:r>
            <w:r w:rsidR="00403B60">
              <w:rPr>
                <w:rFonts w:asciiTheme="minorHAnsi" w:eastAsiaTheme="minorEastAsia" w:hAnsiTheme="minorHAnsi"/>
                <w:noProof/>
                <w:kern w:val="2"/>
                <w:lang w:eastAsia="cs-CZ"/>
                <w14:ligatures w14:val="standardContextual"/>
              </w:rPr>
              <w:tab/>
            </w:r>
            <w:r w:rsidR="00403B60" w:rsidRPr="00EE58AA">
              <w:rPr>
                <w:rStyle w:val="Hypertextovodkaz"/>
                <w:noProof/>
              </w:rPr>
              <w:t>Maximální denní potřeba vody</w:t>
            </w:r>
            <w:r w:rsidR="00403B60">
              <w:rPr>
                <w:noProof/>
                <w:webHidden/>
              </w:rPr>
              <w:tab/>
            </w:r>
            <w:r w:rsidR="00403B60">
              <w:rPr>
                <w:noProof/>
                <w:webHidden/>
              </w:rPr>
              <w:fldChar w:fldCharType="begin"/>
            </w:r>
            <w:r w:rsidR="00403B60">
              <w:rPr>
                <w:noProof/>
                <w:webHidden/>
              </w:rPr>
              <w:instrText xml:space="preserve"> PAGEREF _Toc135303582 \h </w:instrText>
            </w:r>
            <w:r w:rsidR="00403B60">
              <w:rPr>
                <w:noProof/>
                <w:webHidden/>
              </w:rPr>
            </w:r>
            <w:r w:rsidR="00403B60">
              <w:rPr>
                <w:noProof/>
                <w:webHidden/>
              </w:rPr>
              <w:fldChar w:fldCharType="separate"/>
            </w:r>
            <w:r w:rsidR="00C455AB">
              <w:rPr>
                <w:noProof/>
                <w:webHidden/>
              </w:rPr>
              <w:t>2</w:t>
            </w:r>
            <w:r w:rsidR="00403B60">
              <w:rPr>
                <w:noProof/>
                <w:webHidden/>
              </w:rPr>
              <w:fldChar w:fldCharType="end"/>
            </w:r>
          </w:hyperlink>
        </w:p>
        <w:p w14:paraId="1D8A0338" w14:textId="38E13A0B" w:rsidR="00403B60" w:rsidRDefault="00103C03">
          <w:pPr>
            <w:pStyle w:val="Obsah2"/>
            <w:tabs>
              <w:tab w:val="left" w:pos="880"/>
              <w:tab w:val="right" w:leader="dot" w:pos="9203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35303583" w:history="1">
            <w:r w:rsidR="00403B60" w:rsidRPr="00EE58AA">
              <w:rPr>
                <w:rStyle w:val="Hypertextovodkaz"/>
                <w:noProof/>
              </w:rPr>
              <w:t>1.3</w:t>
            </w:r>
            <w:r w:rsidR="00403B60">
              <w:rPr>
                <w:rFonts w:asciiTheme="minorHAnsi" w:eastAsiaTheme="minorEastAsia" w:hAnsiTheme="minorHAnsi"/>
                <w:noProof/>
                <w:kern w:val="2"/>
                <w:lang w:eastAsia="cs-CZ"/>
                <w14:ligatures w14:val="standardContextual"/>
              </w:rPr>
              <w:tab/>
            </w:r>
            <w:r w:rsidR="00403B60" w:rsidRPr="00EE58AA">
              <w:rPr>
                <w:rStyle w:val="Hypertextovodkaz"/>
                <w:noProof/>
              </w:rPr>
              <w:t>Maximální hodinová potřeba vody</w:t>
            </w:r>
            <w:r w:rsidR="00403B60">
              <w:rPr>
                <w:noProof/>
                <w:webHidden/>
              </w:rPr>
              <w:tab/>
            </w:r>
            <w:r w:rsidR="00403B60">
              <w:rPr>
                <w:noProof/>
                <w:webHidden/>
              </w:rPr>
              <w:fldChar w:fldCharType="begin"/>
            </w:r>
            <w:r w:rsidR="00403B60">
              <w:rPr>
                <w:noProof/>
                <w:webHidden/>
              </w:rPr>
              <w:instrText xml:space="preserve"> PAGEREF _Toc135303583 \h </w:instrText>
            </w:r>
            <w:r w:rsidR="00403B60">
              <w:rPr>
                <w:noProof/>
                <w:webHidden/>
              </w:rPr>
            </w:r>
            <w:r w:rsidR="00403B60">
              <w:rPr>
                <w:noProof/>
                <w:webHidden/>
              </w:rPr>
              <w:fldChar w:fldCharType="separate"/>
            </w:r>
            <w:r w:rsidR="00C455AB">
              <w:rPr>
                <w:noProof/>
                <w:webHidden/>
              </w:rPr>
              <w:t>2</w:t>
            </w:r>
            <w:r w:rsidR="00403B60">
              <w:rPr>
                <w:noProof/>
                <w:webHidden/>
              </w:rPr>
              <w:fldChar w:fldCharType="end"/>
            </w:r>
          </w:hyperlink>
        </w:p>
        <w:p w14:paraId="52AA4705" w14:textId="4E9CFD46" w:rsidR="00403B60" w:rsidRDefault="00103C03">
          <w:pPr>
            <w:pStyle w:val="Obsah2"/>
            <w:tabs>
              <w:tab w:val="left" w:pos="880"/>
              <w:tab w:val="right" w:leader="dot" w:pos="9203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35303584" w:history="1">
            <w:r w:rsidR="00403B60" w:rsidRPr="00EE58AA">
              <w:rPr>
                <w:rStyle w:val="Hypertextovodkaz"/>
                <w:noProof/>
              </w:rPr>
              <w:t>1.4</w:t>
            </w:r>
            <w:r w:rsidR="00403B60">
              <w:rPr>
                <w:rFonts w:asciiTheme="minorHAnsi" w:eastAsiaTheme="minorEastAsia" w:hAnsiTheme="minorHAnsi"/>
                <w:noProof/>
                <w:kern w:val="2"/>
                <w:lang w:eastAsia="cs-CZ"/>
                <w14:ligatures w14:val="standardContextual"/>
              </w:rPr>
              <w:tab/>
            </w:r>
            <w:r w:rsidR="00403B60" w:rsidRPr="00EE58AA">
              <w:rPr>
                <w:rStyle w:val="Hypertextovodkaz"/>
                <w:noProof/>
              </w:rPr>
              <w:t>Posouzení stávající přípojky pitné vody</w:t>
            </w:r>
            <w:r w:rsidR="00403B60">
              <w:rPr>
                <w:noProof/>
                <w:webHidden/>
              </w:rPr>
              <w:tab/>
            </w:r>
            <w:r w:rsidR="00403B60">
              <w:rPr>
                <w:noProof/>
                <w:webHidden/>
              </w:rPr>
              <w:fldChar w:fldCharType="begin"/>
            </w:r>
            <w:r w:rsidR="00403B60">
              <w:rPr>
                <w:noProof/>
                <w:webHidden/>
              </w:rPr>
              <w:instrText xml:space="preserve"> PAGEREF _Toc135303584 \h </w:instrText>
            </w:r>
            <w:r w:rsidR="00403B60">
              <w:rPr>
                <w:noProof/>
                <w:webHidden/>
              </w:rPr>
            </w:r>
            <w:r w:rsidR="00403B60">
              <w:rPr>
                <w:noProof/>
                <w:webHidden/>
              </w:rPr>
              <w:fldChar w:fldCharType="separate"/>
            </w:r>
            <w:r w:rsidR="00C455AB">
              <w:rPr>
                <w:noProof/>
                <w:webHidden/>
              </w:rPr>
              <w:t>2</w:t>
            </w:r>
            <w:r w:rsidR="00403B60">
              <w:rPr>
                <w:noProof/>
                <w:webHidden/>
              </w:rPr>
              <w:fldChar w:fldCharType="end"/>
            </w:r>
          </w:hyperlink>
        </w:p>
        <w:p w14:paraId="69737630" w14:textId="4D0BA2CA" w:rsidR="00403B60" w:rsidRDefault="00103C03">
          <w:pPr>
            <w:pStyle w:val="Obsah1"/>
            <w:tabs>
              <w:tab w:val="left" w:pos="440"/>
              <w:tab w:val="right" w:leader="dot" w:pos="9203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35303585" w:history="1">
            <w:r w:rsidR="00403B60" w:rsidRPr="00EE58AA">
              <w:rPr>
                <w:rStyle w:val="Hypertextovodkaz"/>
                <w:noProof/>
              </w:rPr>
              <w:t>2</w:t>
            </w:r>
            <w:r w:rsidR="00403B60">
              <w:rPr>
                <w:rFonts w:asciiTheme="minorHAnsi" w:eastAsiaTheme="minorEastAsia" w:hAnsiTheme="minorHAnsi"/>
                <w:noProof/>
                <w:kern w:val="2"/>
                <w:lang w:eastAsia="cs-CZ"/>
                <w14:ligatures w14:val="standardContextual"/>
              </w:rPr>
              <w:tab/>
            </w:r>
            <w:r w:rsidR="00403B60" w:rsidRPr="00EE58AA">
              <w:rPr>
                <w:rStyle w:val="Hypertextovodkaz"/>
                <w:noProof/>
              </w:rPr>
              <w:t>Bilance přípojky kanalizace</w:t>
            </w:r>
            <w:r w:rsidR="00403B60">
              <w:rPr>
                <w:noProof/>
                <w:webHidden/>
              </w:rPr>
              <w:tab/>
            </w:r>
            <w:r w:rsidR="00403B60">
              <w:rPr>
                <w:noProof/>
                <w:webHidden/>
              </w:rPr>
              <w:fldChar w:fldCharType="begin"/>
            </w:r>
            <w:r w:rsidR="00403B60">
              <w:rPr>
                <w:noProof/>
                <w:webHidden/>
              </w:rPr>
              <w:instrText xml:space="preserve"> PAGEREF _Toc135303585 \h </w:instrText>
            </w:r>
            <w:r w:rsidR="00403B60">
              <w:rPr>
                <w:noProof/>
                <w:webHidden/>
              </w:rPr>
            </w:r>
            <w:r w:rsidR="00403B60">
              <w:rPr>
                <w:noProof/>
                <w:webHidden/>
              </w:rPr>
              <w:fldChar w:fldCharType="separate"/>
            </w:r>
            <w:r w:rsidR="00C455AB">
              <w:rPr>
                <w:noProof/>
                <w:webHidden/>
              </w:rPr>
              <w:t>3</w:t>
            </w:r>
            <w:r w:rsidR="00403B60">
              <w:rPr>
                <w:noProof/>
                <w:webHidden/>
              </w:rPr>
              <w:fldChar w:fldCharType="end"/>
            </w:r>
          </w:hyperlink>
        </w:p>
        <w:p w14:paraId="0D89F472" w14:textId="535ACE46" w:rsidR="00403B60" w:rsidRDefault="00103C03">
          <w:pPr>
            <w:pStyle w:val="Obsah2"/>
            <w:tabs>
              <w:tab w:val="left" w:pos="880"/>
              <w:tab w:val="right" w:leader="dot" w:pos="9203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35303586" w:history="1">
            <w:r w:rsidR="00403B60" w:rsidRPr="00EE58AA">
              <w:rPr>
                <w:rStyle w:val="Hypertextovodkaz"/>
                <w:noProof/>
              </w:rPr>
              <w:t>2.1</w:t>
            </w:r>
            <w:r w:rsidR="00403B60">
              <w:rPr>
                <w:rFonts w:asciiTheme="minorHAnsi" w:eastAsiaTheme="minorEastAsia" w:hAnsiTheme="minorHAnsi"/>
                <w:noProof/>
                <w:kern w:val="2"/>
                <w:lang w:eastAsia="cs-CZ"/>
                <w14:ligatures w14:val="standardContextual"/>
              </w:rPr>
              <w:tab/>
            </w:r>
            <w:r w:rsidR="00403B60" w:rsidRPr="00EE58AA">
              <w:rPr>
                <w:rStyle w:val="Hypertextovodkaz"/>
                <w:noProof/>
              </w:rPr>
              <w:t>Výpočtový průtok kanalizačního potrubí</w:t>
            </w:r>
            <w:r w:rsidR="00403B60">
              <w:rPr>
                <w:noProof/>
                <w:webHidden/>
              </w:rPr>
              <w:tab/>
            </w:r>
            <w:r w:rsidR="00403B60">
              <w:rPr>
                <w:noProof/>
                <w:webHidden/>
              </w:rPr>
              <w:fldChar w:fldCharType="begin"/>
            </w:r>
            <w:r w:rsidR="00403B60">
              <w:rPr>
                <w:noProof/>
                <w:webHidden/>
              </w:rPr>
              <w:instrText xml:space="preserve"> PAGEREF _Toc135303586 \h </w:instrText>
            </w:r>
            <w:r w:rsidR="00403B60">
              <w:rPr>
                <w:noProof/>
                <w:webHidden/>
              </w:rPr>
            </w:r>
            <w:r w:rsidR="00403B60">
              <w:rPr>
                <w:noProof/>
                <w:webHidden/>
              </w:rPr>
              <w:fldChar w:fldCharType="separate"/>
            </w:r>
            <w:r w:rsidR="00C455AB">
              <w:rPr>
                <w:noProof/>
                <w:webHidden/>
              </w:rPr>
              <w:t>3</w:t>
            </w:r>
            <w:r w:rsidR="00403B60">
              <w:rPr>
                <w:noProof/>
                <w:webHidden/>
              </w:rPr>
              <w:fldChar w:fldCharType="end"/>
            </w:r>
          </w:hyperlink>
        </w:p>
        <w:p w14:paraId="00736733" w14:textId="1A392695" w:rsidR="00403B60" w:rsidRDefault="00103C03">
          <w:pPr>
            <w:pStyle w:val="Obsah2"/>
            <w:tabs>
              <w:tab w:val="left" w:pos="880"/>
              <w:tab w:val="right" w:leader="dot" w:pos="9203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35303587" w:history="1">
            <w:r w:rsidR="00403B60" w:rsidRPr="00EE58AA">
              <w:rPr>
                <w:rStyle w:val="Hypertextovodkaz"/>
                <w:noProof/>
              </w:rPr>
              <w:t>2.2</w:t>
            </w:r>
            <w:r w:rsidR="00403B60">
              <w:rPr>
                <w:rFonts w:asciiTheme="minorHAnsi" w:eastAsiaTheme="minorEastAsia" w:hAnsiTheme="minorHAnsi"/>
                <w:noProof/>
                <w:kern w:val="2"/>
                <w:lang w:eastAsia="cs-CZ"/>
                <w14:ligatures w14:val="standardContextual"/>
              </w:rPr>
              <w:tab/>
            </w:r>
            <w:r w:rsidR="00403B60" w:rsidRPr="00EE58AA">
              <w:rPr>
                <w:rStyle w:val="Hypertextovodkaz"/>
                <w:noProof/>
              </w:rPr>
              <w:t>Výpočtový průtok dešťových vod – jednotná kanalizace</w:t>
            </w:r>
            <w:r w:rsidR="00403B60">
              <w:rPr>
                <w:noProof/>
                <w:webHidden/>
              </w:rPr>
              <w:tab/>
            </w:r>
            <w:r w:rsidR="00403B60">
              <w:rPr>
                <w:noProof/>
                <w:webHidden/>
              </w:rPr>
              <w:fldChar w:fldCharType="begin"/>
            </w:r>
            <w:r w:rsidR="00403B60">
              <w:rPr>
                <w:noProof/>
                <w:webHidden/>
              </w:rPr>
              <w:instrText xml:space="preserve"> PAGEREF _Toc135303587 \h </w:instrText>
            </w:r>
            <w:r w:rsidR="00403B60">
              <w:rPr>
                <w:noProof/>
                <w:webHidden/>
              </w:rPr>
            </w:r>
            <w:r w:rsidR="00403B60">
              <w:rPr>
                <w:noProof/>
                <w:webHidden/>
              </w:rPr>
              <w:fldChar w:fldCharType="separate"/>
            </w:r>
            <w:r w:rsidR="00C455AB">
              <w:rPr>
                <w:noProof/>
                <w:webHidden/>
              </w:rPr>
              <w:t>4</w:t>
            </w:r>
            <w:r w:rsidR="00403B60">
              <w:rPr>
                <w:noProof/>
                <w:webHidden/>
              </w:rPr>
              <w:fldChar w:fldCharType="end"/>
            </w:r>
          </w:hyperlink>
        </w:p>
        <w:p w14:paraId="664AC254" w14:textId="4E4CD087" w:rsidR="00403B60" w:rsidRDefault="00103C03">
          <w:pPr>
            <w:pStyle w:val="Obsah2"/>
            <w:tabs>
              <w:tab w:val="left" w:pos="880"/>
              <w:tab w:val="right" w:leader="dot" w:pos="9203"/>
            </w:tabs>
            <w:rPr>
              <w:rFonts w:asciiTheme="minorHAnsi" w:eastAsiaTheme="minorEastAsia" w:hAnsiTheme="minorHAnsi"/>
              <w:noProof/>
              <w:kern w:val="2"/>
              <w:lang w:eastAsia="cs-CZ"/>
              <w14:ligatures w14:val="standardContextual"/>
            </w:rPr>
          </w:pPr>
          <w:hyperlink w:anchor="_Toc135303588" w:history="1">
            <w:r w:rsidR="00403B60" w:rsidRPr="00EE58AA">
              <w:rPr>
                <w:rStyle w:val="Hypertextovodkaz"/>
                <w:noProof/>
              </w:rPr>
              <w:t>2.3</w:t>
            </w:r>
            <w:r w:rsidR="00403B60">
              <w:rPr>
                <w:rFonts w:asciiTheme="minorHAnsi" w:eastAsiaTheme="minorEastAsia" w:hAnsiTheme="minorHAnsi"/>
                <w:noProof/>
                <w:kern w:val="2"/>
                <w:lang w:eastAsia="cs-CZ"/>
                <w14:ligatures w14:val="standardContextual"/>
              </w:rPr>
              <w:tab/>
            </w:r>
            <w:r w:rsidR="00403B60" w:rsidRPr="00EE58AA">
              <w:rPr>
                <w:rStyle w:val="Hypertextovodkaz"/>
                <w:noProof/>
              </w:rPr>
              <w:t>Posouzení stávající kanalizační přípojky</w:t>
            </w:r>
            <w:r w:rsidR="00403B60">
              <w:rPr>
                <w:noProof/>
                <w:webHidden/>
              </w:rPr>
              <w:tab/>
            </w:r>
            <w:r w:rsidR="00403B60">
              <w:rPr>
                <w:noProof/>
                <w:webHidden/>
              </w:rPr>
              <w:fldChar w:fldCharType="begin"/>
            </w:r>
            <w:r w:rsidR="00403B60">
              <w:rPr>
                <w:noProof/>
                <w:webHidden/>
              </w:rPr>
              <w:instrText xml:space="preserve"> PAGEREF _Toc135303588 \h </w:instrText>
            </w:r>
            <w:r w:rsidR="00403B60">
              <w:rPr>
                <w:noProof/>
                <w:webHidden/>
              </w:rPr>
            </w:r>
            <w:r w:rsidR="00403B60">
              <w:rPr>
                <w:noProof/>
                <w:webHidden/>
              </w:rPr>
              <w:fldChar w:fldCharType="separate"/>
            </w:r>
            <w:r w:rsidR="00C455AB">
              <w:rPr>
                <w:noProof/>
                <w:webHidden/>
              </w:rPr>
              <w:t>4</w:t>
            </w:r>
            <w:r w:rsidR="00403B60">
              <w:rPr>
                <w:noProof/>
                <w:webHidden/>
              </w:rPr>
              <w:fldChar w:fldCharType="end"/>
            </w:r>
          </w:hyperlink>
        </w:p>
        <w:p w14:paraId="52F556BC" w14:textId="5D0DF033" w:rsidR="001C181F" w:rsidRDefault="001C181F" w:rsidP="00920EE4">
          <w:r>
            <w:rPr>
              <w:b/>
              <w:bCs/>
            </w:rPr>
            <w:fldChar w:fldCharType="end"/>
          </w:r>
        </w:p>
      </w:sdtContent>
    </w:sdt>
    <w:p w14:paraId="35A3FAD6" w14:textId="11B93402" w:rsidR="001C181F" w:rsidRDefault="001C181F" w:rsidP="00920EE4">
      <w:r>
        <w:br w:type="page"/>
      </w:r>
    </w:p>
    <w:p w14:paraId="5B32C594" w14:textId="3474FC53" w:rsidR="001C181F" w:rsidRDefault="0032302C" w:rsidP="00920EE4">
      <w:pPr>
        <w:pStyle w:val="Nadpis1"/>
        <w:ind w:left="0" w:firstLine="0"/>
      </w:pPr>
      <w:bookmarkStart w:id="0" w:name="_Toc135303580"/>
      <w:r>
        <w:lastRenderedPageBreak/>
        <w:t>Bilance potřeby pitné vody</w:t>
      </w:r>
      <w:bookmarkEnd w:id="0"/>
    </w:p>
    <w:p w14:paraId="2C773124" w14:textId="73A4FE5A" w:rsidR="001A03F8" w:rsidRDefault="001A03F8" w:rsidP="001A03F8"/>
    <w:p w14:paraId="1BBEBF74" w14:textId="055717F9" w:rsidR="001A03F8" w:rsidRDefault="0032302C" w:rsidP="0032302C">
      <w:pPr>
        <w:ind w:firstLine="708"/>
      </w:pPr>
      <w:r>
        <w:t>Areál bude napojen na stávající vodovodní řad DN80 – litina. Posouzení bilance spotřeby pitné vody je pro celý řešený areál zahrnující stávající i nové budovy.</w:t>
      </w:r>
    </w:p>
    <w:p w14:paraId="793F56C3" w14:textId="77777777" w:rsidR="005966E0" w:rsidRDefault="005966E0" w:rsidP="0032302C">
      <w:pPr>
        <w:ind w:firstLine="708"/>
      </w:pPr>
    </w:p>
    <w:p w14:paraId="5314388D" w14:textId="61BB1E61" w:rsidR="0032302C" w:rsidRDefault="00836F8F" w:rsidP="005966E0">
      <w:pPr>
        <w:pStyle w:val="Nadpis2"/>
      </w:pPr>
      <w:bookmarkStart w:id="1" w:name="_Toc135303581"/>
      <w:r>
        <w:t xml:space="preserve">Roční </w:t>
      </w:r>
      <w:r w:rsidR="005966E0">
        <w:t>potřeba vody</w:t>
      </w:r>
      <w:bookmarkEnd w:id="1"/>
    </w:p>
    <w:p w14:paraId="35E9CDEB" w14:textId="77777777" w:rsidR="00C51EA1" w:rsidRPr="00C51EA1" w:rsidRDefault="00C51EA1" w:rsidP="00C51EA1"/>
    <w:p w14:paraId="5E8BD249" w14:textId="6768741F" w:rsidR="00D96FB4" w:rsidRPr="00130F98" w:rsidRDefault="00103C03" w:rsidP="00920EE4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=q∙n</m:t>
          </m:r>
        </m:oMath>
      </m:oMathPara>
    </w:p>
    <w:p w14:paraId="1F883687" w14:textId="1435C267" w:rsidR="00130F98" w:rsidRPr="00C51EA1" w:rsidRDefault="00103C03" w:rsidP="00C51EA1">
      <w:pPr>
        <w:spacing w:line="240" w:lineRule="auto"/>
        <w:ind w:firstLine="709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</m:t>
            </m:r>
          </m:sub>
        </m:sSub>
      </m:oMath>
      <w:r w:rsidR="00130F98" w:rsidRPr="00C51EA1">
        <w:rPr>
          <w:rFonts w:eastAsiaTheme="minorEastAsia"/>
          <w:sz w:val="24"/>
          <w:szCs w:val="24"/>
        </w:rPr>
        <w:tab/>
      </w:r>
      <w:r w:rsidR="00836F8F">
        <w:rPr>
          <w:rFonts w:eastAsiaTheme="minorEastAsia"/>
          <w:sz w:val="24"/>
          <w:szCs w:val="24"/>
        </w:rPr>
        <w:t xml:space="preserve">roční </w:t>
      </w:r>
      <w:r w:rsidR="00130F98" w:rsidRPr="00C51EA1">
        <w:rPr>
          <w:rFonts w:eastAsiaTheme="minorEastAsia"/>
          <w:sz w:val="24"/>
          <w:szCs w:val="24"/>
        </w:rPr>
        <w:t>potřeba vody</w:t>
      </w:r>
    </w:p>
    <w:p w14:paraId="249C0186" w14:textId="5286F7E7" w:rsidR="00130F98" w:rsidRDefault="00130F98" w:rsidP="00C51EA1">
      <w:pPr>
        <w:spacing w:line="240" w:lineRule="auto"/>
        <w:ind w:firstLine="709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q</m:t>
        </m:r>
      </m:oMath>
      <w:r w:rsidRPr="00C51EA1">
        <w:rPr>
          <w:rFonts w:eastAsiaTheme="minorEastAsia"/>
          <w:sz w:val="24"/>
          <w:szCs w:val="24"/>
        </w:rPr>
        <w:tab/>
      </w:r>
      <w:r w:rsidR="001C0398">
        <w:rPr>
          <w:rFonts w:eastAsiaTheme="minorEastAsia"/>
          <w:sz w:val="24"/>
          <w:szCs w:val="24"/>
        </w:rPr>
        <w:t>s</w:t>
      </w:r>
      <w:r w:rsidRPr="00C51EA1">
        <w:rPr>
          <w:rFonts w:eastAsiaTheme="minorEastAsia"/>
          <w:sz w:val="24"/>
          <w:szCs w:val="24"/>
        </w:rPr>
        <w:t>pecifická potřeba vody</w:t>
      </w:r>
    </w:p>
    <w:p w14:paraId="6E5E6E9F" w14:textId="7B84BE98" w:rsidR="001C0398" w:rsidRDefault="001C0398" w:rsidP="001C0398">
      <w:pPr>
        <w:ind w:left="1416"/>
      </w:pPr>
      <w:r>
        <w:t>Průměrná denní potřeba vody určena dle vyhl. č. 428/2001 Sb., příloha č. 12, odst. II. VEŘEJNÉ BUDOVY, ŠKOLY (WC, umyvadl</w:t>
      </w:r>
      <w:r w:rsidR="007256DA">
        <w:t xml:space="preserve">a; </w:t>
      </w:r>
      <w:r w:rsidR="00AB10AE">
        <w:t>stravování – dovoz jídla</w:t>
      </w:r>
      <w:r>
        <w:t>)</w:t>
      </w:r>
    </w:p>
    <w:p w14:paraId="5AED2F7B" w14:textId="38574554" w:rsidR="00D25BEB" w:rsidRPr="00D25BEB" w:rsidRDefault="00D25BEB" w:rsidP="001C0398">
      <w:pPr>
        <w:ind w:left="1416"/>
      </w:pPr>
      <w:r>
        <w:t>3 m</w:t>
      </w:r>
      <w:r>
        <w:rPr>
          <w:vertAlign w:val="superscript"/>
        </w:rPr>
        <w:t>3</w:t>
      </w:r>
      <w:r>
        <w:t>/os.rok</w:t>
      </w:r>
    </w:p>
    <w:p w14:paraId="5B7D8EED" w14:textId="6D6F9925" w:rsidR="00C51EA1" w:rsidRDefault="00130F98" w:rsidP="00836F8F">
      <w:pPr>
        <w:spacing w:line="240" w:lineRule="auto"/>
        <w:ind w:firstLine="709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Pr="00C51EA1">
        <w:rPr>
          <w:rFonts w:eastAsiaTheme="minorEastAsia"/>
          <w:sz w:val="24"/>
          <w:szCs w:val="24"/>
        </w:rPr>
        <w:tab/>
        <w:t>počet měrných jednotek</w:t>
      </w:r>
    </w:p>
    <w:p w14:paraId="27661F25" w14:textId="77777777" w:rsidR="00836F8F" w:rsidRDefault="00836F8F" w:rsidP="00836F8F">
      <w:pPr>
        <w:spacing w:line="240" w:lineRule="auto"/>
        <w:ind w:firstLine="709"/>
        <w:rPr>
          <w:rFonts w:eastAsiaTheme="minorEastAsia"/>
          <w:sz w:val="24"/>
          <w:szCs w:val="24"/>
        </w:rPr>
      </w:pPr>
    </w:p>
    <w:p w14:paraId="622C9E58" w14:textId="1695DB78" w:rsidR="00836F8F" w:rsidRDefault="00836F8F" w:rsidP="00836F8F">
      <w:pPr>
        <w:spacing w:line="240" w:lineRule="auto"/>
        <w:ind w:firstLine="709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Počet stávajících žáků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24629B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219</w:t>
      </w:r>
    </w:p>
    <w:p w14:paraId="218B66B1" w14:textId="0E115A19" w:rsidR="00836F8F" w:rsidRDefault="00836F8F" w:rsidP="00836F8F">
      <w:pPr>
        <w:spacing w:line="240" w:lineRule="auto"/>
        <w:ind w:firstLine="709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Počet stávajících zaměstnanců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24629B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54</w:t>
      </w:r>
    </w:p>
    <w:p w14:paraId="4984E99A" w14:textId="35211438" w:rsidR="00D25BEB" w:rsidRPr="00D25BEB" w:rsidRDefault="00103C03" w:rsidP="00D25BEB">
      <w:pPr>
        <w:spacing w:line="240" w:lineRule="auto"/>
        <w:ind w:firstLine="709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r,s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=3∙273</m:t>
          </m:r>
        </m:oMath>
      </m:oMathPara>
    </w:p>
    <w:p w14:paraId="57E0EC03" w14:textId="690DA706" w:rsidR="00836F8F" w:rsidRPr="00D25BEB" w:rsidRDefault="00103C03" w:rsidP="00D25BEB">
      <w:pPr>
        <w:spacing w:line="240" w:lineRule="auto"/>
        <w:ind w:firstLine="709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r,s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=819,0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</m:oMath>
      </m:oMathPara>
    </w:p>
    <w:p w14:paraId="0B8192B8" w14:textId="77777777" w:rsidR="00D25BEB" w:rsidRDefault="00D25BEB" w:rsidP="00D25BEB">
      <w:pPr>
        <w:spacing w:line="240" w:lineRule="auto"/>
        <w:ind w:firstLine="709"/>
        <w:rPr>
          <w:rFonts w:eastAsiaTheme="minorEastAsia"/>
          <w:sz w:val="24"/>
          <w:szCs w:val="24"/>
        </w:rPr>
      </w:pPr>
    </w:p>
    <w:p w14:paraId="09EEA677" w14:textId="4ABA19D8" w:rsidR="00836F8F" w:rsidRDefault="00836F8F" w:rsidP="00836F8F">
      <w:pPr>
        <w:spacing w:line="240" w:lineRule="auto"/>
        <w:ind w:firstLine="709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Počet nově navrhovaného počtu žáků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24629B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249</w:t>
      </w:r>
    </w:p>
    <w:p w14:paraId="57928517" w14:textId="607E461D" w:rsidR="00836F8F" w:rsidRDefault="00836F8F" w:rsidP="00836F8F">
      <w:pPr>
        <w:spacing w:line="240" w:lineRule="auto"/>
        <w:ind w:firstLine="709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Počet nově navrhovaného počtu zaměstnanců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24629B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62</w:t>
      </w:r>
    </w:p>
    <w:p w14:paraId="417255A1" w14:textId="566F99F0" w:rsidR="00D25BEB" w:rsidRPr="00D25BEB" w:rsidRDefault="00103C03" w:rsidP="00D25BEB">
      <w:pPr>
        <w:spacing w:line="240" w:lineRule="auto"/>
        <w:ind w:firstLine="709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r,n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=3∙311</m:t>
          </m:r>
        </m:oMath>
      </m:oMathPara>
    </w:p>
    <w:p w14:paraId="373C61E2" w14:textId="239A89C2" w:rsidR="00D25BEB" w:rsidRPr="00D25BEB" w:rsidRDefault="00103C03" w:rsidP="00D25BEB">
      <w:pPr>
        <w:spacing w:line="240" w:lineRule="auto"/>
        <w:ind w:firstLine="709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r,n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 xml:space="preserve">=933,0 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</m:oMath>
      </m:oMathPara>
    </w:p>
    <w:p w14:paraId="10A4827C" w14:textId="77777777" w:rsidR="00D25BEB" w:rsidRDefault="00D25BEB" w:rsidP="00D25BEB">
      <w:pPr>
        <w:spacing w:line="240" w:lineRule="auto"/>
        <w:ind w:firstLine="709"/>
        <w:rPr>
          <w:rFonts w:eastAsiaTheme="minorEastAsia"/>
          <w:sz w:val="24"/>
          <w:szCs w:val="24"/>
        </w:rPr>
      </w:pPr>
    </w:p>
    <w:p w14:paraId="3BF3CC3D" w14:textId="6754ADC9" w:rsidR="00D25BEB" w:rsidRDefault="00D25BEB" w:rsidP="00836F8F">
      <w:pPr>
        <w:spacing w:line="240" w:lineRule="auto"/>
        <w:ind w:firstLine="709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Celkové navýšení osob 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 w:rsidR="0024629B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+ 38</w:t>
      </w:r>
    </w:p>
    <w:p w14:paraId="4AAAB248" w14:textId="4D72264E" w:rsidR="00D25BEB" w:rsidRDefault="00D25BEB" w:rsidP="00836F8F">
      <w:pPr>
        <w:spacing w:line="240" w:lineRule="auto"/>
        <w:ind w:firstLine="709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Celkové navýšení potřeby vody</w:t>
      </w:r>
    </w:p>
    <w:p w14:paraId="1AE4670F" w14:textId="7488A596" w:rsidR="00D25BEB" w:rsidRPr="00D25BEB" w:rsidRDefault="00103C03" w:rsidP="00D25BEB">
      <w:pPr>
        <w:spacing w:line="240" w:lineRule="auto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r,c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=933-819</m:t>
          </m:r>
        </m:oMath>
      </m:oMathPara>
    </w:p>
    <w:p w14:paraId="4BE986DF" w14:textId="680E40FF" w:rsidR="00D25BEB" w:rsidRPr="00D25BEB" w:rsidRDefault="00103C03" w:rsidP="00836F8F">
      <w:pPr>
        <w:spacing w:line="240" w:lineRule="auto"/>
        <w:ind w:firstLine="709"/>
        <w:rPr>
          <w:rFonts w:eastAsiaTheme="minorEastAsia"/>
          <w:b/>
          <w:bCs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r,c</m:t>
              </m:r>
            </m:sub>
          </m:sSub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=114,0 </m:t>
          </m:r>
          <m:sSup>
            <m:sSupPr>
              <m:ctrlPr>
                <w:rPr>
                  <w:rFonts w:ascii="Cambria Math" w:hAnsi="Cambria Math"/>
                  <w:b/>
                  <w:bCs/>
                  <w:i/>
                  <w:sz w:val="28"/>
                  <w:szCs w:val="28"/>
                </w:rPr>
              </m:ctrlPr>
            </m:sSupPr>
            <m:e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m</m:t>
              </m:r>
            </m:e>
            <m:sup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sup>
          </m:sSup>
        </m:oMath>
      </m:oMathPara>
    </w:p>
    <w:p w14:paraId="51126BF5" w14:textId="421F3090" w:rsidR="00465461" w:rsidRPr="00465461" w:rsidRDefault="00465461" w:rsidP="008E2E8D">
      <w:pPr>
        <w:ind w:firstLine="576"/>
        <w:rPr>
          <w:b/>
          <w:bCs/>
          <w:sz w:val="24"/>
          <w:szCs w:val="24"/>
        </w:rPr>
      </w:pPr>
      <w:r w:rsidRPr="00465461">
        <w:rPr>
          <w:b/>
          <w:bCs/>
          <w:sz w:val="24"/>
          <w:szCs w:val="24"/>
        </w:rPr>
        <w:t xml:space="preserve">Pozn: </w:t>
      </w:r>
      <w:r w:rsidRPr="008E2E8D">
        <w:rPr>
          <w:b/>
          <w:bCs/>
          <w:i/>
          <w:iCs/>
          <w:sz w:val="24"/>
          <w:szCs w:val="24"/>
        </w:rPr>
        <w:t>Skutečná spotřeba ve stávajícím objektu v období od 26.1.2022 do 24.1. 2023 byla 704 m</w:t>
      </w:r>
      <w:r w:rsidRPr="008E2E8D">
        <w:rPr>
          <w:b/>
          <w:bCs/>
          <w:i/>
          <w:iCs/>
          <w:sz w:val="24"/>
          <w:szCs w:val="24"/>
          <w:vertAlign w:val="superscript"/>
        </w:rPr>
        <w:t>3</w:t>
      </w:r>
      <w:r w:rsidRPr="008E2E8D">
        <w:rPr>
          <w:b/>
          <w:bCs/>
          <w:i/>
          <w:iCs/>
          <w:sz w:val="24"/>
          <w:szCs w:val="24"/>
        </w:rPr>
        <w:t xml:space="preserve">. </w:t>
      </w:r>
    </w:p>
    <w:p w14:paraId="1FBD646A" w14:textId="27AA87F4" w:rsidR="0049158B" w:rsidRDefault="0049158B" w:rsidP="0049158B">
      <w:pPr>
        <w:pStyle w:val="Nadpis2"/>
      </w:pPr>
      <w:bookmarkStart w:id="2" w:name="_Toc135303582"/>
      <w:r>
        <w:lastRenderedPageBreak/>
        <w:t>Maximální denní potřeba vody</w:t>
      </w:r>
      <w:bookmarkEnd w:id="2"/>
    </w:p>
    <w:p w14:paraId="542E55A2" w14:textId="77777777" w:rsidR="00C51EA1" w:rsidRPr="00C51EA1" w:rsidRDefault="00C51EA1" w:rsidP="00C51EA1"/>
    <w:p w14:paraId="44D2E512" w14:textId="169B4D22" w:rsidR="00C51EA1" w:rsidRPr="00130F98" w:rsidRDefault="00103C03" w:rsidP="00C51EA1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p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</m:sub>
          </m:sSub>
        </m:oMath>
      </m:oMathPara>
    </w:p>
    <w:p w14:paraId="69AACA0A" w14:textId="6C375449" w:rsidR="00C51EA1" w:rsidRPr="00C51EA1" w:rsidRDefault="00103C03" w:rsidP="00C51EA1">
      <w:pPr>
        <w:spacing w:line="240" w:lineRule="auto"/>
        <w:ind w:firstLine="709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C51EA1" w:rsidRPr="00C51EA1">
        <w:rPr>
          <w:rFonts w:eastAsiaTheme="minorEastAsia"/>
          <w:sz w:val="24"/>
          <w:szCs w:val="24"/>
        </w:rPr>
        <w:tab/>
      </w:r>
      <w:r w:rsidR="00C51EA1">
        <w:rPr>
          <w:rFonts w:eastAsiaTheme="minorEastAsia"/>
          <w:sz w:val="24"/>
          <w:szCs w:val="24"/>
        </w:rPr>
        <w:t>maximální denní potřeba vody</w:t>
      </w:r>
    </w:p>
    <w:p w14:paraId="5815CE0E" w14:textId="7B6E8048" w:rsidR="00C51EA1" w:rsidRPr="00C51EA1" w:rsidRDefault="00103C03" w:rsidP="00C51EA1">
      <w:pPr>
        <w:spacing w:line="240" w:lineRule="auto"/>
        <w:ind w:firstLine="709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p</m:t>
            </m:r>
          </m:sub>
        </m:sSub>
      </m:oMath>
      <w:r w:rsidR="00C51EA1" w:rsidRPr="00C51EA1">
        <w:rPr>
          <w:rFonts w:eastAsiaTheme="minorEastAsia"/>
          <w:sz w:val="24"/>
          <w:szCs w:val="24"/>
        </w:rPr>
        <w:tab/>
      </w:r>
      <w:r w:rsidR="00C51EA1">
        <w:rPr>
          <w:rFonts w:eastAsiaTheme="minorEastAsia"/>
          <w:sz w:val="24"/>
          <w:szCs w:val="24"/>
        </w:rPr>
        <w:t>průměrná denní potřeba vody</w:t>
      </w:r>
    </w:p>
    <w:p w14:paraId="578EC28E" w14:textId="7E4F07E1" w:rsidR="00C51EA1" w:rsidRPr="00C51EA1" w:rsidRDefault="00103C03" w:rsidP="00C51EA1">
      <w:pPr>
        <w:spacing w:line="240" w:lineRule="auto"/>
        <w:ind w:firstLine="709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d</m:t>
            </m:r>
          </m:sub>
        </m:sSub>
      </m:oMath>
      <w:r w:rsidR="00C51EA1" w:rsidRPr="00C51EA1">
        <w:rPr>
          <w:rFonts w:eastAsiaTheme="minorEastAsia"/>
          <w:sz w:val="24"/>
          <w:szCs w:val="24"/>
        </w:rPr>
        <w:tab/>
      </w:r>
      <w:r w:rsidR="00C51EA1">
        <w:rPr>
          <w:rFonts w:eastAsiaTheme="minorEastAsia"/>
          <w:sz w:val="24"/>
          <w:szCs w:val="24"/>
        </w:rPr>
        <w:t>součinitel denní nerovnoměrnosti</w:t>
      </w:r>
    </w:p>
    <w:p w14:paraId="0FB3C821" w14:textId="3FD83133" w:rsidR="0049158B" w:rsidRDefault="0049158B" w:rsidP="00C51EA1"/>
    <w:bookmarkStart w:id="3" w:name="_MON_1740314933"/>
    <w:bookmarkEnd w:id="3"/>
    <w:p w14:paraId="63E45A80" w14:textId="1F345617" w:rsidR="0049158B" w:rsidRPr="0049158B" w:rsidRDefault="0024629B" w:rsidP="0049158B">
      <w:pPr>
        <w:jc w:val="center"/>
      </w:pPr>
      <w:r>
        <w:object w:dxaOrig="4148" w:dyaOrig="1006" w14:anchorId="31CB29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2.25pt;height:50.25pt" o:ole="">
            <v:imagedata r:id="rId10" o:title=""/>
          </v:shape>
          <o:OLEObject Type="Embed" ProgID="Excel.Sheet.12" ShapeID="_x0000_i1025" DrawAspect="Content" ObjectID="_1777287131" r:id="rId11"/>
        </w:object>
      </w:r>
    </w:p>
    <w:p w14:paraId="0ABC78C0" w14:textId="50DCDC2C" w:rsidR="0049158B" w:rsidRDefault="0049158B" w:rsidP="00920EE4"/>
    <w:p w14:paraId="7EBB2209" w14:textId="68BE0013" w:rsidR="00CD64F4" w:rsidRDefault="00CD64F4" w:rsidP="00CD64F4">
      <w:pPr>
        <w:pStyle w:val="Nadpis2"/>
      </w:pPr>
      <w:bookmarkStart w:id="4" w:name="_Toc135303583"/>
      <w:r>
        <w:t>Maximální hodinová potřeba vody</w:t>
      </w:r>
      <w:bookmarkEnd w:id="4"/>
    </w:p>
    <w:p w14:paraId="5C15D7C1" w14:textId="77777777" w:rsidR="00C51EA1" w:rsidRPr="00C51EA1" w:rsidRDefault="00C51EA1" w:rsidP="00C51EA1"/>
    <w:p w14:paraId="1DA22EEB" w14:textId="7814FDA3" w:rsidR="00C51EA1" w:rsidRPr="001C0398" w:rsidRDefault="00103C03" w:rsidP="00C51EA1">
      <w:pPr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m</m:t>
                  </m:r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24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sub>
          </m:sSub>
        </m:oMath>
      </m:oMathPara>
    </w:p>
    <w:p w14:paraId="5853549E" w14:textId="548F3EBB" w:rsidR="001C0398" w:rsidRPr="001C0398" w:rsidRDefault="00103C03" w:rsidP="001C0398">
      <w:pPr>
        <w:spacing w:line="240" w:lineRule="auto"/>
        <w:ind w:firstLine="709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h</m:t>
            </m:r>
          </m:sub>
        </m:sSub>
      </m:oMath>
      <w:r w:rsidR="001C0398" w:rsidRPr="00C51EA1">
        <w:rPr>
          <w:rFonts w:eastAsiaTheme="minorEastAsia"/>
          <w:sz w:val="24"/>
          <w:szCs w:val="24"/>
        </w:rPr>
        <w:tab/>
      </w:r>
      <w:r w:rsidR="001C0398">
        <w:rPr>
          <w:rFonts w:eastAsiaTheme="minorEastAsia"/>
          <w:sz w:val="24"/>
          <w:szCs w:val="24"/>
        </w:rPr>
        <w:t>maximální hodinová potřeba vody</w:t>
      </w:r>
    </w:p>
    <w:p w14:paraId="679EC850" w14:textId="77777777" w:rsidR="001C0398" w:rsidRPr="00C51EA1" w:rsidRDefault="00103C03" w:rsidP="001C0398">
      <w:pPr>
        <w:spacing w:line="240" w:lineRule="auto"/>
        <w:ind w:firstLine="709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m</m:t>
            </m:r>
          </m:sub>
        </m:sSub>
      </m:oMath>
      <w:r w:rsidR="001C0398" w:rsidRPr="00C51EA1">
        <w:rPr>
          <w:rFonts w:eastAsiaTheme="minorEastAsia"/>
          <w:sz w:val="24"/>
          <w:szCs w:val="24"/>
        </w:rPr>
        <w:tab/>
      </w:r>
      <w:r w:rsidR="001C0398">
        <w:rPr>
          <w:rFonts w:eastAsiaTheme="minorEastAsia"/>
          <w:sz w:val="24"/>
          <w:szCs w:val="24"/>
        </w:rPr>
        <w:t>maximální denní potřeba vody</w:t>
      </w:r>
    </w:p>
    <w:p w14:paraId="531A17DA" w14:textId="274DAAB7" w:rsidR="00C51EA1" w:rsidRPr="00C51EA1" w:rsidRDefault="00103C03" w:rsidP="00C51EA1">
      <w:pPr>
        <w:spacing w:line="240" w:lineRule="auto"/>
        <w:ind w:firstLine="709"/>
        <w:rPr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h</m:t>
            </m:r>
          </m:sub>
        </m:sSub>
      </m:oMath>
      <w:r w:rsidR="00C51EA1" w:rsidRPr="00C51EA1">
        <w:rPr>
          <w:rFonts w:eastAsiaTheme="minorEastAsia"/>
          <w:sz w:val="24"/>
          <w:szCs w:val="24"/>
        </w:rPr>
        <w:tab/>
      </w:r>
      <w:r w:rsidR="00C51EA1">
        <w:rPr>
          <w:rFonts w:eastAsiaTheme="minorEastAsia"/>
          <w:sz w:val="24"/>
          <w:szCs w:val="24"/>
        </w:rPr>
        <w:t>součinitel hodinové nerovnoměrnosti</w:t>
      </w:r>
    </w:p>
    <w:p w14:paraId="6C15A203" w14:textId="77777777" w:rsidR="00CD64F4" w:rsidRDefault="00CD64F4" w:rsidP="00C51EA1"/>
    <w:bookmarkStart w:id="5" w:name="_MON_1740315510"/>
    <w:bookmarkEnd w:id="5"/>
    <w:p w14:paraId="14F538EA" w14:textId="1D1CC435" w:rsidR="00CD64F4" w:rsidRPr="0049158B" w:rsidRDefault="0024629B" w:rsidP="00CD64F4">
      <w:pPr>
        <w:jc w:val="center"/>
      </w:pPr>
      <w:r>
        <w:object w:dxaOrig="4148" w:dyaOrig="1006" w14:anchorId="4FA16C0E">
          <v:shape id="_x0000_i1026" type="#_x0000_t75" style="width:182.25pt;height:50.25pt" o:ole="">
            <v:imagedata r:id="rId12" o:title=""/>
          </v:shape>
          <o:OLEObject Type="Embed" ProgID="Excel.Sheet.12" ShapeID="_x0000_i1026" DrawAspect="Content" ObjectID="_1777287132" r:id="rId13"/>
        </w:object>
      </w:r>
    </w:p>
    <w:p w14:paraId="446E1ED3" w14:textId="34F7C62D" w:rsidR="00CD64F4" w:rsidRDefault="00CD64F4" w:rsidP="00920EE4"/>
    <w:p w14:paraId="556365DF" w14:textId="55A29942" w:rsidR="00CA1246" w:rsidRDefault="00CA1246" w:rsidP="00CA1246">
      <w:pPr>
        <w:pStyle w:val="Nadpis2"/>
      </w:pPr>
      <w:bookmarkStart w:id="6" w:name="_Toc135303584"/>
      <w:r>
        <w:t>Posouzení stávající přípojky pitné vody</w:t>
      </w:r>
      <w:bookmarkEnd w:id="6"/>
    </w:p>
    <w:p w14:paraId="59DE6D57" w14:textId="45157FD1" w:rsidR="00CA1246" w:rsidRDefault="00CA1246" w:rsidP="00CA1246"/>
    <w:p w14:paraId="64D54D44" w14:textId="0397FC2C" w:rsidR="00CA1246" w:rsidRDefault="00CA1246" w:rsidP="00CA1246">
      <w:pPr>
        <w:ind w:firstLine="576"/>
      </w:pPr>
      <w:r>
        <w:t xml:space="preserve">Stávající přípojka pitné vody je přivedena z ul. Karla Čapka. Jedná se o litinové potrubí DN80. </w:t>
      </w:r>
      <w:r w:rsidR="00403B60">
        <w:t>M</w:t>
      </w:r>
      <w:r>
        <w:t xml:space="preserve">aximální průtoková kapacita potrubí při maximální </w:t>
      </w:r>
      <w:r w:rsidR="00925D31">
        <w:t xml:space="preserve">návrhové </w:t>
      </w:r>
      <w:r>
        <w:t>průtokové rychlosti 1,0 m/s:</w:t>
      </w:r>
    </w:p>
    <w:p w14:paraId="0A927C84" w14:textId="3273309A" w:rsidR="00CA1246" w:rsidRPr="00733E8B" w:rsidRDefault="00CA1246" w:rsidP="00CA1246">
      <w:pPr>
        <w:ind w:firstLine="576"/>
      </w:pPr>
      <w:r w:rsidRPr="00733E8B">
        <w:t xml:space="preserve">Maximální </w:t>
      </w:r>
      <w:r w:rsidR="00DC28EE" w:rsidRPr="00733E8B">
        <w:t>návrhový</w:t>
      </w:r>
      <w:r w:rsidR="00762AE2" w:rsidRPr="00733E8B">
        <w:t xml:space="preserve"> </w:t>
      </w:r>
      <w:r w:rsidRPr="00733E8B">
        <w:t>průtok vody stávající vodovodní přípojky</w:t>
      </w:r>
      <w:r w:rsidRPr="00733E8B">
        <w:tab/>
      </w:r>
      <w:r w:rsidRPr="00733E8B">
        <w:tab/>
      </w:r>
      <w:r w:rsidRPr="00733E8B">
        <w:tab/>
      </w:r>
      <w:r w:rsidR="00762AE2" w:rsidRPr="00733E8B">
        <w:t>5,14 l/s</w:t>
      </w:r>
    </w:p>
    <w:p w14:paraId="0F4968F5" w14:textId="2217753D" w:rsidR="00762AE2" w:rsidRDefault="00762AE2" w:rsidP="00762AE2">
      <w:pPr>
        <w:ind w:firstLine="576"/>
        <w:rPr>
          <w:u w:val="single"/>
        </w:rPr>
      </w:pPr>
      <w:r w:rsidRPr="00733E8B">
        <w:rPr>
          <w:u w:val="single"/>
        </w:rPr>
        <w:t>Nový výpočtový průtok pitné vody</w:t>
      </w:r>
      <w:r w:rsidRPr="00733E8B">
        <w:rPr>
          <w:u w:val="single"/>
        </w:rPr>
        <w:tab/>
      </w:r>
      <w:r w:rsidRPr="00733E8B">
        <w:rPr>
          <w:u w:val="single"/>
        </w:rPr>
        <w:tab/>
      </w:r>
      <w:r w:rsidRPr="00733E8B">
        <w:rPr>
          <w:u w:val="single"/>
        </w:rPr>
        <w:tab/>
      </w:r>
      <w:r w:rsidRPr="00733E8B">
        <w:rPr>
          <w:u w:val="single"/>
        </w:rPr>
        <w:tab/>
      </w:r>
      <w:r w:rsidRPr="00733E8B">
        <w:rPr>
          <w:u w:val="single"/>
        </w:rPr>
        <w:tab/>
      </w:r>
      <w:r w:rsidRPr="00733E8B">
        <w:rPr>
          <w:u w:val="single"/>
        </w:rPr>
        <w:tab/>
      </w:r>
      <w:r w:rsidR="0024629B">
        <w:rPr>
          <w:u w:val="single"/>
        </w:rPr>
        <w:t>1,91</w:t>
      </w:r>
      <w:r w:rsidRPr="00733E8B">
        <w:rPr>
          <w:u w:val="single"/>
        </w:rPr>
        <w:t xml:space="preserve"> l/s</w:t>
      </w:r>
    </w:p>
    <w:p w14:paraId="6699838E" w14:textId="77777777" w:rsidR="00733E8B" w:rsidRDefault="00733E8B" w:rsidP="00762AE2">
      <w:pPr>
        <w:ind w:firstLine="576"/>
        <w:rPr>
          <w:u w:val="single"/>
        </w:rPr>
      </w:pPr>
    </w:p>
    <w:p w14:paraId="2E50BE17" w14:textId="26474103" w:rsidR="00733E8B" w:rsidRPr="00403B60" w:rsidRDefault="00733E8B" w:rsidP="00403B60">
      <w:pPr>
        <w:ind w:firstLine="576"/>
        <w:rPr>
          <w:rFonts w:eastAsiaTheme="minorEastAsia"/>
          <w:sz w:val="28"/>
          <w:szCs w:val="28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 xml:space="preserve">5,14 </m:t>
          </m:r>
          <m:r>
            <w:rPr>
              <w:rFonts w:ascii="Cambria Math" w:hAnsi="Cambria Math"/>
              <w:sz w:val="24"/>
              <w:szCs w:val="24"/>
            </w:rPr>
            <m:t>l/s&gt;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1,91</m:t>
          </m:r>
          <m:r>
            <w:rPr>
              <w:rFonts w:ascii="Cambria Math" w:hAnsi="Cambria Math"/>
              <w:sz w:val="24"/>
              <w:szCs w:val="24"/>
            </w:rPr>
            <m:t xml:space="preserve"> l/s</m:t>
          </m:r>
        </m:oMath>
      </m:oMathPara>
    </w:p>
    <w:p w14:paraId="1E3073BA" w14:textId="5CF369E0" w:rsidR="00762AE2" w:rsidRPr="00733E8B" w:rsidRDefault="00762AE2" w:rsidP="00CA1246">
      <w:pPr>
        <w:ind w:firstLine="576"/>
      </w:pPr>
      <w:r w:rsidRPr="00733E8B">
        <w:t xml:space="preserve">Stávající přípojka studené vody </w:t>
      </w:r>
      <w:r w:rsidRPr="00733E8B">
        <w:rPr>
          <w:b/>
          <w:bCs/>
        </w:rPr>
        <w:t>VYHOVUJE</w:t>
      </w:r>
      <w:r w:rsidRPr="00733E8B">
        <w:t xml:space="preserve"> nově navrženému stavu.</w:t>
      </w:r>
    </w:p>
    <w:p w14:paraId="26CB9E1C" w14:textId="45299ED4" w:rsidR="00130F98" w:rsidRDefault="00762AE2" w:rsidP="00920EE4">
      <w:r>
        <w:t>Výpočtový průtok vody byl stanoven dle ČSN 75 5455 – Výpočet vnitřních vodovodů.</w:t>
      </w:r>
    </w:p>
    <w:p w14:paraId="40AEA1D3" w14:textId="5EF4AE47" w:rsidR="00130F98" w:rsidRDefault="00130F98" w:rsidP="00130F98">
      <w:pPr>
        <w:pStyle w:val="Nadpis1"/>
        <w:ind w:left="0" w:firstLine="0"/>
      </w:pPr>
      <w:bookmarkStart w:id="7" w:name="_Toc135303585"/>
      <w:r>
        <w:lastRenderedPageBreak/>
        <w:t>Bilance přípojky kanalizace</w:t>
      </w:r>
      <w:bookmarkEnd w:id="7"/>
    </w:p>
    <w:p w14:paraId="1F589F22" w14:textId="6BCEBA86" w:rsidR="00130F98" w:rsidRDefault="00130F98" w:rsidP="00920EE4"/>
    <w:p w14:paraId="50F04AC8" w14:textId="66453478" w:rsidR="00130F98" w:rsidRDefault="00130F98" w:rsidP="00403B60">
      <w:pPr>
        <w:ind w:firstLine="708"/>
      </w:pPr>
      <w:r>
        <w:t>Areál je napojen na stávající přípojku jednotné kanalizace DN 250 z ulice Ke Koupališti. V areálu dochází kvůli novým přístavbám k přeložení stávajícího vedení svodné areálové kanalizace</w:t>
      </w:r>
      <w:r w:rsidR="00925D31">
        <w:t xml:space="preserve"> – viz. PD</w:t>
      </w:r>
      <w:r>
        <w:t xml:space="preserve">. Tyto přeložky budou vždy nahrazeny </w:t>
      </w:r>
      <w:r w:rsidR="00925D31">
        <w:t xml:space="preserve">svodným potrubím </w:t>
      </w:r>
      <w:r>
        <w:t>minimálně stejn</w:t>
      </w:r>
      <w:r w:rsidR="00925D31">
        <w:t>ého</w:t>
      </w:r>
      <w:r>
        <w:t xml:space="preserve"> nebo vět</w:t>
      </w:r>
      <w:r w:rsidR="00925D31">
        <w:t>šího</w:t>
      </w:r>
      <w:r>
        <w:t xml:space="preserve"> DN</w:t>
      </w:r>
      <w:r w:rsidR="00925D31">
        <w:t xml:space="preserve"> dle nového stavu</w:t>
      </w:r>
      <w:r>
        <w:t>.</w:t>
      </w:r>
    </w:p>
    <w:p w14:paraId="0F93D886" w14:textId="346761F5" w:rsidR="00130F98" w:rsidRDefault="00130F98" w:rsidP="00130F98">
      <w:pPr>
        <w:pStyle w:val="Nadpis2"/>
      </w:pPr>
      <w:bookmarkStart w:id="8" w:name="_Toc135303586"/>
      <w:r>
        <w:t>Výpočtový průtok kanalizačního potrubí</w:t>
      </w:r>
      <w:bookmarkEnd w:id="8"/>
    </w:p>
    <w:p w14:paraId="7D25B4F7" w14:textId="2A9C5414" w:rsidR="00130F98" w:rsidRDefault="00130F98" w:rsidP="00130F98"/>
    <w:p w14:paraId="4A524FEB" w14:textId="747ED7DD" w:rsidR="00130F98" w:rsidRPr="00782779" w:rsidRDefault="00103C03" w:rsidP="00130F98">
      <w:pPr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ww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=k∙</m:t>
          </m:r>
          <m:rad>
            <m:radPr>
              <m:degHide m:val="1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DU</m:t>
                  </m:r>
                </m:e>
              </m:nary>
            </m:e>
          </m:rad>
        </m:oMath>
      </m:oMathPara>
    </w:p>
    <w:p w14:paraId="46EC4793" w14:textId="6EAC082D" w:rsidR="0037104C" w:rsidRPr="00C51EA1" w:rsidRDefault="00103C03" w:rsidP="0037104C">
      <w:pPr>
        <w:spacing w:line="240" w:lineRule="auto"/>
        <w:ind w:firstLine="709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ww</m:t>
            </m:r>
          </m:sub>
        </m:sSub>
      </m:oMath>
      <w:r w:rsidR="0037104C" w:rsidRPr="00C51EA1">
        <w:rPr>
          <w:rFonts w:eastAsiaTheme="minorEastAsia"/>
          <w:sz w:val="24"/>
          <w:szCs w:val="24"/>
        </w:rPr>
        <w:tab/>
      </w:r>
      <w:r w:rsidR="0037104C">
        <w:rPr>
          <w:rFonts w:eastAsiaTheme="minorEastAsia"/>
          <w:sz w:val="24"/>
          <w:szCs w:val="24"/>
        </w:rPr>
        <w:t>výpočtový průtok odpadních vod [l/s]</w:t>
      </w:r>
    </w:p>
    <w:p w14:paraId="7182BA07" w14:textId="0F3D5094" w:rsidR="0037104C" w:rsidRDefault="0037104C" w:rsidP="0037104C">
      <w:pPr>
        <w:spacing w:line="240" w:lineRule="auto"/>
        <w:ind w:firstLine="709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Pr="00C51EA1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systém vnitřní kanalizace</w:t>
      </w:r>
    </w:p>
    <w:p w14:paraId="3E490120" w14:textId="4ABE7977" w:rsidR="007538BD" w:rsidRDefault="007538BD" w:rsidP="0037104C">
      <w:pPr>
        <w:spacing w:line="240" w:lineRule="auto"/>
        <w:ind w:firstLine="709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nepravidelné používání (např. byty, penziony, úřady)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0,5</w:t>
      </w:r>
    </w:p>
    <w:p w14:paraId="7CBFE088" w14:textId="7FC1C1C5" w:rsidR="007538BD" w:rsidRDefault="007538BD" w:rsidP="0037104C">
      <w:pPr>
        <w:spacing w:line="240" w:lineRule="auto"/>
        <w:ind w:firstLine="709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pravidelné používání (např. nemocnice, školy, restaurace, hotely)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0,7</w:t>
      </w:r>
    </w:p>
    <w:p w14:paraId="24D7F171" w14:textId="795D370C" w:rsidR="007538BD" w:rsidRDefault="007538BD" w:rsidP="0037104C">
      <w:pPr>
        <w:spacing w:line="240" w:lineRule="auto"/>
        <w:ind w:firstLine="709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časté používání (např. veřejné WC a sprchy)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1,0</w:t>
      </w:r>
    </w:p>
    <w:p w14:paraId="66629DF5" w14:textId="24A1178C" w:rsidR="007538BD" w:rsidRPr="00C51EA1" w:rsidRDefault="007538BD" w:rsidP="0037104C">
      <w:pPr>
        <w:spacing w:line="240" w:lineRule="auto"/>
        <w:ind w:firstLine="709"/>
        <w:rPr>
          <w:sz w:val="24"/>
          <w:szCs w:val="24"/>
        </w:rPr>
      </w:pPr>
      <w:r>
        <w:rPr>
          <w:rFonts w:eastAsiaTheme="minorEastAsia"/>
          <w:sz w:val="24"/>
          <w:szCs w:val="24"/>
        </w:rPr>
        <w:tab/>
        <w:t>speciální (např. laboratoře)</w:t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  <w:t>1,2</w:t>
      </w:r>
    </w:p>
    <w:p w14:paraId="412C4062" w14:textId="6A994C59" w:rsidR="00782779" w:rsidRPr="00733E8B" w:rsidRDefault="0037104C" w:rsidP="00733E8B">
      <w:pPr>
        <w:spacing w:line="240" w:lineRule="auto"/>
        <w:ind w:firstLine="709"/>
        <w:rPr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DU</m:t>
        </m:r>
      </m:oMath>
      <w:r w:rsidRPr="00C51EA1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výpočtové odtoky</w:t>
      </w:r>
    </w:p>
    <w:bookmarkStart w:id="9" w:name="_MON_1740320241"/>
    <w:bookmarkEnd w:id="9"/>
    <w:p w14:paraId="76A7D896" w14:textId="56916F95" w:rsidR="00CA1246" w:rsidRDefault="008A5DB7" w:rsidP="00782779">
      <w:pPr>
        <w:jc w:val="center"/>
      </w:pPr>
      <w:r>
        <w:object w:dxaOrig="6063" w:dyaOrig="3214" w14:anchorId="283ACF90">
          <v:shape id="_x0000_i1027" type="#_x0000_t75" style="width:279.75pt;height:160.5pt" o:ole="">
            <v:imagedata r:id="rId14" o:title=""/>
          </v:shape>
          <o:OLEObject Type="Embed" ProgID="Excel.Sheet.12" ShapeID="_x0000_i1027" DrawAspect="Content" ObjectID="_1777287133" r:id="rId15"/>
        </w:object>
      </w:r>
    </w:p>
    <w:p w14:paraId="5DBEC430" w14:textId="7A79500F" w:rsidR="008A5DB7" w:rsidRDefault="008A5DB7" w:rsidP="00782779">
      <w:pPr>
        <w:jc w:val="center"/>
      </w:pPr>
    </w:p>
    <w:bookmarkStart w:id="10" w:name="_MON_1740373045"/>
    <w:bookmarkEnd w:id="10"/>
    <w:p w14:paraId="1B013B80" w14:textId="6C218F72" w:rsidR="008A5DB7" w:rsidRDefault="00FA59E0" w:rsidP="008A5DB7">
      <w:pPr>
        <w:jc w:val="center"/>
      </w:pPr>
      <w:r>
        <w:object w:dxaOrig="4158" w:dyaOrig="963" w14:anchorId="70EFF374">
          <v:shape id="_x0000_i1028" type="#_x0000_t75" style="width:180.75pt;height:48pt" o:ole="">
            <v:imagedata r:id="rId16" o:title=""/>
          </v:shape>
          <o:OLEObject Type="Embed" ProgID="Excel.Sheet.12" ShapeID="_x0000_i1028" DrawAspect="Content" ObjectID="_1777287134" r:id="rId17"/>
        </w:object>
      </w:r>
    </w:p>
    <w:p w14:paraId="0F3B79EE" w14:textId="251BE7B2" w:rsidR="00DC28EE" w:rsidRDefault="00DC28EE" w:rsidP="00DC28EE">
      <w:r>
        <w:t>Výpočtový průtok splaškových vod byl stanoven dle ČSN EN 12056-2.</w:t>
      </w:r>
    </w:p>
    <w:p w14:paraId="02D0FB3E" w14:textId="42A1650E" w:rsidR="007538BD" w:rsidRDefault="00403B60" w:rsidP="00403B60">
      <w:r>
        <w:br w:type="page"/>
      </w:r>
    </w:p>
    <w:p w14:paraId="343CA788" w14:textId="2F741A96" w:rsidR="007538BD" w:rsidRDefault="007538BD" w:rsidP="007538BD">
      <w:pPr>
        <w:pStyle w:val="Nadpis2"/>
      </w:pPr>
      <w:bookmarkStart w:id="11" w:name="_Toc135303587"/>
      <w:r>
        <w:lastRenderedPageBreak/>
        <w:t>Výpočtový průtok dešťových vod</w:t>
      </w:r>
      <w:r w:rsidR="00FA59E0">
        <w:t xml:space="preserve"> </w:t>
      </w:r>
      <w:r w:rsidR="002C1281">
        <w:t>– jednotná kanalizace</w:t>
      </w:r>
      <w:bookmarkEnd w:id="11"/>
    </w:p>
    <w:p w14:paraId="3C5FD7AF" w14:textId="77777777" w:rsidR="007538BD" w:rsidRPr="007538BD" w:rsidRDefault="007538BD" w:rsidP="007538BD"/>
    <w:p w14:paraId="238C5C38" w14:textId="2F8697F4" w:rsidR="007538BD" w:rsidRPr="00782779" w:rsidRDefault="00103C03" w:rsidP="007538BD">
      <w:pPr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rw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=i∙</m:t>
          </m:r>
          <m:r>
            <w:rPr>
              <w:rFonts w:ascii="Cambria Math" w:eastAsiaTheme="minorEastAsia" w:hAnsi="Cambria Math"/>
              <w:sz w:val="28"/>
              <w:szCs w:val="28"/>
            </w:rPr>
            <m:t>A</m:t>
          </m:r>
          <m:r>
            <w:rPr>
              <w:rFonts w:ascii="Cambria Math" w:eastAsiaTheme="minorEastAsia" w:hAnsi="Cambria Math" w:cs="Calibri"/>
              <w:sz w:val="28"/>
              <w:szCs w:val="28"/>
            </w:rPr>
            <m:t>·</m:t>
          </m:r>
          <m:r>
            <w:rPr>
              <w:rFonts w:ascii="Cambria Math" w:eastAsiaTheme="minorEastAsia" w:hAnsi="Cambria Math"/>
              <w:sz w:val="28"/>
              <w:szCs w:val="28"/>
            </w:rPr>
            <m:t>c</m:t>
          </m:r>
        </m:oMath>
      </m:oMathPara>
    </w:p>
    <w:p w14:paraId="5ABA86AA" w14:textId="5ED47AE3" w:rsidR="007538BD" w:rsidRPr="00C51EA1" w:rsidRDefault="00103C03" w:rsidP="007538BD">
      <w:pPr>
        <w:spacing w:line="240" w:lineRule="auto"/>
        <w:ind w:firstLine="709"/>
        <w:rPr>
          <w:rFonts w:eastAsiaTheme="minorEastAsia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rw</m:t>
            </m:r>
          </m:sub>
        </m:sSub>
      </m:oMath>
      <w:r w:rsidR="007538BD" w:rsidRPr="00C51EA1">
        <w:rPr>
          <w:rFonts w:eastAsiaTheme="minorEastAsia"/>
          <w:sz w:val="24"/>
          <w:szCs w:val="24"/>
        </w:rPr>
        <w:tab/>
      </w:r>
      <w:r w:rsidR="007538BD">
        <w:rPr>
          <w:rFonts w:eastAsiaTheme="minorEastAsia"/>
          <w:sz w:val="24"/>
          <w:szCs w:val="24"/>
        </w:rPr>
        <w:t>výpočtový průtok dešťových vod [l/s]</w:t>
      </w:r>
    </w:p>
    <w:p w14:paraId="7EC024DC" w14:textId="7B9C032B" w:rsidR="007538BD" w:rsidRPr="007538BD" w:rsidRDefault="007538BD" w:rsidP="007538BD">
      <w:pPr>
        <w:spacing w:line="240" w:lineRule="auto"/>
        <w:ind w:firstLine="709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 w:rsidRPr="00C51EA1"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>intenzita deš</w:t>
      </w:r>
      <w:r w:rsidR="002C1281">
        <w:rPr>
          <w:rFonts w:eastAsiaTheme="minorEastAsia"/>
          <w:sz w:val="24"/>
          <w:szCs w:val="24"/>
        </w:rPr>
        <w:t>tě</w:t>
      </w:r>
      <w:r>
        <w:rPr>
          <w:rFonts w:eastAsiaTheme="minorEastAsia"/>
          <w:sz w:val="24"/>
          <w:szCs w:val="24"/>
        </w:rPr>
        <w:t xml:space="preserve"> dané lokality</w:t>
      </w:r>
      <w:r>
        <w:rPr>
          <w:rFonts w:eastAsiaTheme="minorEastAsia"/>
          <w:sz w:val="24"/>
          <w:szCs w:val="24"/>
        </w:rPr>
        <w:tab/>
      </w:r>
      <w:r w:rsidR="002C1281">
        <w:rPr>
          <w:rFonts w:eastAsiaTheme="minorEastAsia"/>
          <w:sz w:val="24"/>
          <w:szCs w:val="24"/>
        </w:rPr>
        <w:t>[l/s</w:t>
      </w:r>
      <w:r w:rsidR="002C1281">
        <w:rPr>
          <w:rFonts w:ascii="Calibri" w:eastAsiaTheme="minorEastAsia" w:hAnsi="Calibri" w:cs="Calibri"/>
          <w:sz w:val="24"/>
          <w:szCs w:val="24"/>
        </w:rPr>
        <w:t>·</w:t>
      </w:r>
      <w:r w:rsidR="002C1281">
        <w:rPr>
          <w:rFonts w:eastAsiaTheme="minorEastAsia"/>
          <w:sz w:val="24"/>
          <w:szCs w:val="24"/>
        </w:rPr>
        <w:t>m</w:t>
      </w:r>
      <w:r w:rsidR="002C1281">
        <w:rPr>
          <w:rFonts w:eastAsiaTheme="minorEastAsia"/>
          <w:sz w:val="24"/>
          <w:szCs w:val="24"/>
          <w:vertAlign w:val="superscript"/>
        </w:rPr>
        <w:t>2</w:t>
      </w:r>
      <w:r w:rsidR="002C1281">
        <w:rPr>
          <w:rFonts w:eastAsiaTheme="minorEastAsia"/>
          <w:sz w:val="24"/>
          <w:szCs w:val="24"/>
        </w:rPr>
        <w:t>]</w:t>
      </w:r>
    </w:p>
    <w:p w14:paraId="2C530DA0" w14:textId="1AEA063E" w:rsidR="007538BD" w:rsidRDefault="007538BD" w:rsidP="007538BD">
      <w:pPr>
        <w:spacing w:line="240" w:lineRule="auto"/>
        <w:ind w:firstLine="709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A</m:t>
        </m:r>
      </m:oMath>
      <w:r w:rsidRPr="00C51EA1">
        <w:rPr>
          <w:rFonts w:eastAsiaTheme="minorEastAsia"/>
          <w:sz w:val="24"/>
          <w:szCs w:val="24"/>
        </w:rPr>
        <w:tab/>
      </w:r>
      <w:r w:rsidR="002C1281">
        <w:rPr>
          <w:rFonts w:eastAsiaTheme="minorEastAsia"/>
          <w:sz w:val="24"/>
          <w:szCs w:val="24"/>
        </w:rPr>
        <w:t>odvodňovaná plocha [m</w:t>
      </w:r>
      <w:r w:rsidR="002C1281">
        <w:rPr>
          <w:rFonts w:eastAsiaTheme="minorEastAsia"/>
          <w:sz w:val="24"/>
          <w:szCs w:val="24"/>
          <w:vertAlign w:val="superscript"/>
        </w:rPr>
        <w:t>2</w:t>
      </w:r>
      <w:r w:rsidR="002C1281">
        <w:rPr>
          <w:rFonts w:eastAsiaTheme="minorEastAsia"/>
          <w:sz w:val="24"/>
          <w:szCs w:val="24"/>
        </w:rPr>
        <w:t>]</w:t>
      </w:r>
    </w:p>
    <w:p w14:paraId="65A5409D" w14:textId="51DF1AFF" w:rsidR="00990824" w:rsidRPr="00990824" w:rsidRDefault="002C1281" w:rsidP="00990824">
      <w:pPr>
        <w:spacing w:line="240" w:lineRule="auto"/>
        <w:ind w:firstLine="709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c</m:t>
        </m:r>
      </m:oMath>
      <w:r w:rsidRPr="00C51EA1">
        <w:rPr>
          <w:rFonts w:eastAsiaTheme="minorEastAsia"/>
          <w:sz w:val="24"/>
          <w:szCs w:val="24"/>
        </w:rPr>
        <w:tab/>
      </w:r>
      <w:r w:rsidRPr="002C1281">
        <w:rPr>
          <w:rFonts w:eastAsiaTheme="minorEastAsia"/>
          <w:sz w:val="24"/>
          <w:szCs w:val="24"/>
        </w:rPr>
        <w:t>součinitel odtoku z odvodňované plochy</w:t>
      </w:r>
      <w:r>
        <w:rPr>
          <w:rFonts w:eastAsiaTheme="minorEastAsia"/>
          <w:sz w:val="24"/>
          <w:szCs w:val="24"/>
        </w:rPr>
        <w:t xml:space="preserve"> [-]</w:t>
      </w:r>
    </w:p>
    <w:bookmarkStart w:id="12" w:name="_MON_1740374054"/>
    <w:bookmarkEnd w:id="12"/>
    <w:p w14:paraId="1EFE2D0D" w14:textId="1DCAD096" w:rsidR="002C1281" w:rsidRPr="00C51EA1" w:rsidRDefault="00BD6DA3" w:rsidP="002C1281">
      <w:pPr>
        <w:spacing w:line="240" w:lineRule="auto"/>
        <w:ind w:firstLine="709"/>
        <w:jc w:val="center"/>
        <w:rPr>
          <w:sz w:val="24"/>
          <w:szCs w:val="24"/>
        </w:rPr>
      </w:pPr>
      <w:r>
        <w:object w:dxaOrig="7080" w:dyaOrig="2153" w14:anchorId="635838BA">
          <v:shape id="_x0000_i1029" type="#_x0000_t75" style="width:327pt;height:107.25pt" o:ole="">
            <v:imagedata r:id="rId18" o:title=""/>
          </v:shape>
          <o:OLEObject Type="Embed" ProgID="Excel.Sheet.12" ShapeID="_x0000_i1029" DrawAspect="Content" ObjectID="_1777287135" r:id="rId19"/>
        </w:object>
      </w:r>
    </w:p>
    <w:p w14:paraId="636F925D" w14:textId="6B409A21" w:rsidR="00DC28EE" w:rsidRDefault="00DC28EE" w:rsidP="00DC28EE">
      <w:r>
        <w:t>Výpočtový průtok dešťových vod byl stanoven dle ČSN EN 12056-3.</w:t>
      </w:r>
    </w:p>
    <w:p w14:paraId="30AB3C7F" w14:textId="2577CD8B" w:rsidR="007538BD" w:rsidRDefault="007538BD" w:rsidP="008A5DB7">
      <w:pPr>
        <w:jc w:val="center"/>
      </w:pPr>
    </w:p>
    <w:p w14:paraId="11E35DBA" w14:textId="24F77EB0" w:rsidR="00FA59E0" w:rsidRDefault="00FA59E0" w:rsidP="00FA59E0">
      <w:pPr>
        <w:pStyle w:val="Nadpis2"/>
      </w:pPr>
      <w:bookmarkStart w:id="13" w:name="_Toc135303588"/>
      <w:r>
        <w:t>Posouzení stávající kanalizační přípojky</w:t>
      </w:r>
      <w:bookmarkEnd w:id="13"/>
    </w:p>
    <w:p w14:paraId="08B18411" w14:textId="77777777" w:rsidR="00403B60" w:rsidRPr="00403B60" w:rsidRDefault="00403B60" w:rsidP="00403B60"/>
    <w:p w14:paraId="79DFC1FB" w14:textId="17FD2C81" w:rsidR="00FA59E0" w:rsidRDefault="00D821BB" w:rsidP="00D821BB">
      <w:pPr>
        <w:ind w:firstLine="576"/>
      </w:pPr>
      <w:r>
        <w:t>Areál je napojen na stávající přípojku jednotné kanalizace DN250 ve spádu 0,14 %. Tato přípojka je nově navržena na odvod všech splaškových odpadních vod z areálu včetně nově navržených budov a odvod dešťových vod ze stávajících budov, které zůstávají neměnné. Odvod dešťových vod z nově navržených budov bude řešen samostatně pomocí vsakovacích objektů (viz. příloha č.2).</w:t>
      </w:r>
    </w:p>
    <w:p w14:paraId="66A1181E" w14:textId="77777777" w:rsidR="00D821BB" w:rsidRPr="00733E8B" w:rsidRDefault="00D821BB" w:rsidP="00CA0E06"/>
    <w:p w14:paraId="5333DCD9" w14:textId="5FCAAE5B" w:rsidR="00D821BB" w:rsidRPr="00733E8B" w:rsidRDefault="00D821BB" w:rsidP="00D821BB">
      <w:pPr>
        <w:ind w:firstLine="576"/>
      </w:pPr>
      <w:r w:rsidRPr="00733E8B">
        <w:t>Maximální kapacita jednotné kanalizační přípojky DN 250</w:t>
      </w:r>
      <w:r w:rsidR="00DC28EE" w:rsidRPr="00733E8B">
        <w:t xml:space="preserve"> (spád 0,14 %)</w:t>
      </w:r>
      <w:r w:rsidRPr="00733E8B">
        <w:tab/>
      </w:r>
      <w:r w:rsidR="00733E8B">
        <w:tab/>
      </w:r>
      <w:r w:rsidR="00DC28EE" w:rsidRPr="00733E8B">
        <w:t>53,0</w:t>
      </w:r>
      <w:r w:rsidRPr="00733E8B">
        <w:t xml:space="preserve"> l/s</w:t>
      </w:r>
    </w:p>
    <w:p w14:paraId="4EE36FE5" w14:textId="32A649DD" w:rsidR="00DC28EE" w:rsidRPr="00733E8B" w:rsidRDefault="00DC28EE" w:rsidP="00DC28EE">
      <w:pPr>
        <w:ind w:left="576"/>
      </w:pPr>
      <w:r w:rsidRPr="00733E8B">
        <w:t>kanalizační přípojka bude navržena na stupeň plnění 70 %</w:t>
      </w:r>
    </w:p>
    <w:p w14:paraId="07AC4D86" w14:textId="1CEB81D1" w:rsidR="00D821BB" w:rsidRPr="00733E8B" w:rsidRDefault="00D821BB" w:rsidP="00D821BB">
      <w:pPr>
        <w:ind w:firstLine="576"/>
      </w:pPr>
      <w:r w:rsidRPr="00733E8B">
        <w:t>Nový výpočtový průtok splaškové kanalizace</w:t>
      </w:r>
      <w:r w:rsidRPr="00733E8B">
        <w:tab/>
      </w:r>
      <w:r w:rsidRPr="00733E8B">
        <w:tab/>
      </w:r>
      <w:r w:rsidRPr="00733E8B">
        <w:tab/>
      </w:r>
      <w:r w:rsidRPr="00733E8B">
        <w:tab/>
      </w:r>
      <w:r w:rsidRPr="00733E8B">
        <w:tab/>
        <w:t>8,7 l/s</w:t>
      </w:r>
    </w:p>
    <w:p w14:paraId="3CC67AE9" w14:textId="00BC5607" w:rsidR="00D821BB" w:rsidRPr="00733E8B" w:rsidRDefault="00D821BB" w:rsidP="00D821BB">
      <w:pPr>
        <w:ind w:firstLine="576"/>
      </w:pPr>
      <w:r w:rsidRPr="00733E8B">
        <w:t>Nový výpočtový průtok dešťové kanalizace (stávající budovy)</w:t>
      </w:r>
      <w:r w:rsidRPr="00733E8B">
        <w:tab/>
      </w:r>
      <w:r w:rsidRPr="00733E8B">
        <w:tab/>
      </w:r>
      <w:r w:rsidRPr="00733E8B">
        <w:tab/>
        <w:t>19,</w:t>
      </w:r>
      <w:r w:rsidR="00BD6DA3">
        <w:t>9</w:t>
      </w:r>
      <w:r w:rsidRPr="00733E8B">
        <w:t xml:space="preserve"> l/s</w:t>
      </w:r>
    </w:p>
    <w:p w14:paraId="2566100B" w14:textId="416E6890" w:rsidR="00D821BB" w:rsidRDefault="00D821BB" w:rsidP="00D821BB">
      <w:pPr>
        <w:ind w:firstLine="576"/>
        <w:rPr>
          <w:u w:val="single"/>
        </w:rPr>
      </w:pPr>
      <w:r w:rsidRPr="00733E8B">
        <w:rPr>
          <w:u w:val="single"/>
        </w:rPr>
        <w:t>Celkový nově navržený průtok jednotné kanalizace</w:t>
      </w:r>
      <w:r w:rsidRPr="00733E8B">
        <w:rPr>
          <w:u w:val="single"/>
        </w:rPr>
        <w:tab/>
      </w:r>
      <w:r w:rsidRPr="00733E8B">
        <w:rPr>
          <w:u w:val="single"/>
        </w:rPr>
        <w:tab/>
      </w:r>
      <w:r w:rsidRPr="00733E8B">
        <w:rPr>
          <w:u w:val="single"/>
        </w:rPr>
        <w:tab/>
      </w:r>
      <w:r w:rsidRPr="00733E8B">
        <w:rPr>
          <w:u w:val="single"/>
        </w:rPr>
        <w:tab/>
      </w:r>
      <w:r w:rsidR="00DC28EE" w:rsidRPr="00733E8B">
        <w:rPr>
          <w:u w:val="single"/>
        </w:rPr>
        <w:t>28,</w:t>
      </w:r>
      <w:r w:rsidR="00BD6DA3">
        <w:rPr>
          <w:u w:val="single"/>
        </w:rPr>
        <w:t>6</w:t>
      </w:r>
      <w:r w:rsidRPr="00733E8B">
        <w:rPr>
          <w:u w:val="single"/>
        </w:rPr>
        <w:t xml:space="preserve"> l/s</w:t>
      </w:r>
    </w:p>
    <w:p w14:paraId="1872279C" w14:textId="77777777" w:rsidR="00733E8B" w:rsidRPr="00733E8B" w:rsidRDefault="00733E8B" w:rsidP="00CA0E06">
      <w:pPr>
        <w:rPr>
          <w:u w:val="single"/>
        </w:rPr>
      </w:pPr>
    </w:p>
    <w:p w14:paraId="732064C3" w14:textId="0A4F8B26" w:rsidR="00D821BB" w:rsidRPr="00503A90" w:rsidRDefault="00733E8B" w:rsidP="00503A90">
      <w:pPr>
        <w:ind w:firstLine="576"/>
        <w:rPr>
          <w:u w:val="single"/>
        </w:rPr>
      </w:pPr>
      <m:oMathPara>
        <m:oMath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53,0</m:t>
          </m:r>
          <m:r>
            <w:rPr>
              <w:rFonts w:ascii="Cambria Math" w:hAnsi="Cambria Math"/>
              <w:sz w:val="24"/>
              <w:szCs w:val="24"/>
            </w:rPr>
            <m:t xml:space="preserve"> l/s&gt;</m:t>
          </m:r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28,6</m:t>
          </m:r>
          <m:r>
            <w:rPr>
              <w:rFonts w:ascii="Cambria Math" w:hAnsi="Cambria Math"/>
              <w:sz w:val="24"/>
              <w:szCs w:val="24"/>
            </w:rPr>
            <m:t xml:space="preserve"> l/s</m:t>
          </m:r>
        </m:oMath>
      </m:oMathPara>
    </w:p>
    <w:p w14:paraId="50B36933" w14:textId="1D2439B9" w:rsidR="00DC28EE" w:rsidRPr="00403B60" w:rsidRDefault="00D821BB" w:rsidP="00403B60">
      <w:pPr>
        <w:ind w:firstLine="576"/>
      </w:pPr>
      <w:r w:rsidRPr="00733E8B">
        <w:t xml:space="preserve">Stávající přípojka </w:t>
      </w:r>
      <w:r w:rsidR="00DC28EE" w:rsidRPr="00733E8B">
        <w:t>jednotné kanalizace</w:t>
      </w:r>
      <w:r w:rsidRPr="00733E8B">
        <w:t xml:space="preserve"> </w:t>
      </w:r>
      <w:r w:rsidRPr="00733E8B">
        <w:rPr>
          <w:b/>
          <w:bCs/>
        </w:rPr>
        <w:t>VYHOVUJE</w:t>
      </w:r>
      <w:r w:rsidRPr="00733E8B">
        <w:t xml:space="preserve"> nově navrženému stavu.</w:t>
      </w:r>
    </w:p>
    <w:p w14:paraId="47C6820B" w14:textId="77E6A8ED" w:rsidR="00FA59E0" w:rsidRDefault="00DC28EE" w:rsidP="00733E8B">
      <w:r>
        <w:t>Výpočtový průtok kanalizační přípojky byl stanoven dle ČSN EN 12056-2.</w:t>
      </w:r>
    </w:p>
    <w:p w14:paraId="3887FB8B" w14:textId="77777777" w:rsidR="00503A90" w:rsidRPr="00D96FB4" w:rsidRDefault="00503A90" w:rsidP="00733E8B"/>
    <w:p w14:paraId="44C4CFAE" w14:textId="4DDE1F1D" w:rsidR="00D96FB4" w:rsidRPr="00D96FB4" w:rsidRDefault="00A01BE7" w:rsidP="00920EE4">
      <w:r>
        <w:t xml:space="preserve">V Praze: </w:t>
      </w:r>
      <w:r w:rsidR="00733E8B">
        <w:t>15</w:t>
      </w:r>
      <w:r>
        <w:t>.</w:t>
      </w:r>
      <w:r w:rsidR="00465461">
        <w:t>6</w:t>
      </w:r>
      <w:r>
        <w:t>.2023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9041F">
        <w:tab/>
      </w:r>
      <w:r>
        <w:t>Vypracoval: Ing. Matěj Pečenka</w:t>
      </w:r>
    </w:p>
    <w:sectPr w:rsidR="00D96FB4" w:rsidRPr="00D96FB4" w:rsidSect="00920EE4">
      <w:pgSz w:w="11906" w:h="16838"/>
      <w:pgMar w:top="1418" w:right="1417" w:bottom="1417" w:left="1276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49077" w14:textId="77777777" w:rsidR="00990C80" w:rsidRDefault="00990C80" w:rsidP="00B83120">
      <w:pPr>
        <w:spacing w:after="0" w:line="240" w:lineRule="auto"/>
      </w:pPr>
      <w:r>
        <w:separator/>
      </w:r>
    </w:p>
  </w:endnote>
  <w:endnote w:type="continuationSeparator" w:id="0">
    <w:p w14:paraId="0CFFB300" w14:textId="77777777" w:rsidR="00990C80" w:rsidRDefault="00990C80" w:rsidP="00B83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chnika Light">
    <w:altName w:val="Calibri"/>
    <w:panose1 w:val="00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Technika">
    <w:altName w:val="Calibri"/>
    <w:panose1 w:val="00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Technika Book">
    <w:altName w:val="Calibri"/>
    <w:panose1 w:val="00000000000000000000"/>
    <w:charset w:val="00"/>
    <w:family w:val="modern"/>
    <w:notTrueType/>
    <w:pitch w:val="variable"/>
    <w:sig w:usb0="00000087" w:usb1="00000001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9956872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079824B" w14:textId="6AEE9E47" w:rsidR="00B83120" w:rsidRDefault="00B83120">
        <w:pPr>
          <w:pStyle w:val="Zpat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14:paraId="64C8686C" w14:textId="77777777" w:rsidR="00B83120" w:rsidRDefault="00B8312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C816D" w14:textId="77777777" w:rsidR="00990C80" w:rsidRDefault="00990C80" w:rsidP="00B83120">
      <w:pPr>
        <w:spacing w:after="0" w:line="240" w:lineRule="auto"/>
      </w:pPr>
      <w:r>
        <w:separator/>
      </w:r>
    </w:p>
  </w:footnote>
  <w:footnote w:type="continuationSeparator" w:id="0">
    <w:p w14:paraId="593BBC4F" w14:textId="77777777" w:rsidR="00990C80" w:rsidRDefault="00990C80" w:rsidP="00B83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12251" w14:textId="18DB99DE" w:rsidR="0080437C" w:rsidRDefault="00925D31">
    <w:pPr>
      <w:pStyle w:val="Zhlav"/>
    </w:pPr>
    <w:r>
      <w:t>P1. Bilance</w:t>
    </w:r>
    <w:r w:rsidR="0080437C">
      <w:ptab w:relativeTo="margin" w:alignment="center" w:leader="none"/>
    </w:r>
    <w:r w:rsidR="0080437C">
      <w:ptab w:relativeTo="margin" w:alignment="right" w:leader="none"/>
    </w:r>
    <w:r w:rsidR="0080437C">
      <w:t>D.1.4.</w:t>
    </w:r>
    <w:r>
      <w:t>3</w:t>
    </w:r>
    <w:r w:rsidR="009D4048">
      <w:t xml:space="preserve"> </w:t>
    </w:r>
    <w:r>
      <w:t>–</w:t>
    </w:r>
    <w:r w:rsidR="0080437C">
      <w:t xml:space="preserve"> </w:t>
    </w:r>
    <w:r>
      <w:t>Zdravotně technické zařízení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86D53"/>
    <w:multiLevelType w:val="multilevel"/>
    <w:tmpl w:val="E82EB3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E21DAD"/>
    <w:multiLevelType w:val="hybridMultilevel"/>
    <w:tmpl w:val="3F1EE88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9338D1"/>
    <w:multiLevelType w:val="hybridMultilevel"/>
    <w:tmpl w:val="DDA24CB4"/>
    <w:lvl w:ilvl="0" w:tplc="E578B590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50164F"/>
    <w:multiLevelType w:val="hybridMultilevel"/>
    <w:tmpl w:val="11A8D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3E1C2B"/>
    <w:multiLevelType w:val="hybridMultilevel"/>
    <w:tmpl w:val="C598D48C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191F6B81"/>
    <w:multiLevelType w:val="hybridMultilevel"/>
    <w:tmpl w:val="35A45CD4"/>
    <w:lvl w:ilvl="0" w:tplc="3976CED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D120022"/>
    <w:multiLevelType w:val="hybridMultilevel"/>
    <w:tmpl w:val="A5622C9E"/>
    <w:lvl w:ilvl="0" w:tplc="0405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7" w15:restartNumberingAfterBreak="0">
    <w:nsid w:val="22524EE2"/>
    <w:multiLevelType w:val="hybridMultilevel"/>
    <w:tmpl w:val="E3B64E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C56AE"/>
    <w:multiLevelType w:val="hybridMultilevel"/>
    <w:tmpl w:val="4DCE6EAE"/>
    <w:lvl w:ilvl="0" w:tplc="040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E924B67"/>
    <w:multiLevelType w:val="hybridMultilevel"/>
    <w:tmpl w:val="B20E4F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35843610"/>
    <w:multiLevelType w:val="hybridMultilevel"/>
    <w:tmpl w:val="95C2A1A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819D0"/>
    <w:multiLevelType w:val="hybridMultilevel"/>
    <w:tmpl w:val="885CA6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75F85"/>
    <w:multiLevelType w:val="hybridMultilevel"/>
    <w:tmpl w:val="68BC5056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38F83CED"/>
    <w:multiLevelType w:val="hybridMultilevel"/>
    <w:tmpl w:val="2A9AB3D0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43DE4D94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D73015A"/>
    <w:multiLevelType w:val="hybridMultilevel"/>
    <w:tmpl w:val="212020B0"/>
    <w:lvl w:ilvl="0" w:tplc="0405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60833A1B"/>
    <w:multiLevelType w:val="hybridMultilevel"/>
    <w:tmpl w:val="F2903CE8"/>
    <w:lvl w:ilvl="0" w:tplc="040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6642B16"/>
    <w:multiLevelType w:val="hybridMultilevel"/>
    <w:tmpl w:val="3F7497E0"/>
    <w:lvl w:ilvl="0" w:tplc="04050005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8" w15:restartNumberingAfterBreak="0">
    <w:nsid w:val="7BAB2A3B"/>
    <w:multiLevelType w:val="hybridMultilevel"/>
    <w:tmpl w:val="990E2BDA"/>
    <w:lvl w:ilvl="0" w:tplc="04050005">
      <w:start w:val="1"/>
      <w:numFmt w:val="bullet"/>
      <w:lvlText w:val=""/>
      <w:lvlJc w:val="left"/>
      <w:pPr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125932333">
    <w:abstractNumId w:val="14"/>
  </w:num>
  <w:num w:numId="2" w16cid:durableId="199585773">
    <w:abstractNumId w:val="8"/>
  </w:num>
  <w:num w:numId="3" w16cid:durableId="495536680">
    <w:abstractNumId w:val="17"/>
  </w:num>
  <w:num w:numId="4" w16cid:durableId="1920871559">
    <w:abstractNumId w:val="0"/>
  </w:num>
  <w:num w:numId="5" w16cid:durableId="1735540708">
    <w:abstractNumId w:val="2"/>
  </w:num>
  <w:num w:numId="6" w16cid:durableId="2129735145">
    <w:abstractNumId w:val="11"/>
  </w:num>
  <w:num w:numId="7" w16cid:durableId="1442721514">
    <w:abstractNumId w:val="7"/>
  </w:num>
  <w:num w:numId="8" w16cid:durableId="747002003">
    <w:abstractNumId w:val="3"/>
  </w:num>
  <w:num w:numId="9" w16cid:durableId="1476870574">
    <w:abstractNumId w:val="18"/>
  </w:num>
  <w:num w:numId="10" w16cid:durableId="812067402">
    <w:abstractNumId w:val="5"/>
  </w:num>
  <w:num w:numId="11" w16cid:durableId="991907996">
    <w:abstractNumId w:val="1"/>
  </w:num>
  <w:num w:numId="12" w16cid:durableId="974065436">
    <w:abstractNumId w:val="10"/>
  </w:num>
  <w:num w:numId="13" w16cid:durableId="1318344280">
    <w:abstractNumId w:val="16"/>
  </w:num>
  <w:num w:numId="14" w16cid:durableId="437533183">
    <w:abstractNumId w:val="9"/>
  </w:num>
  <w:num w:numId="15" w16cid:durableId="1975478305">
    <w:abstractNumId w:val="12"/>
  </w:num>
  <w:num w:numId="16" w16cid:durableId="1384720416">
    <w:abstractNumId w:val="6"/>
  </w:num>
  <w:num w:numId="17" w16cid:durableId="357464447">
    <w:abstractNumId w:val="4"/>
  </w:num>
  <w:num w:numId="18" w16cid:durableId="222303334">
    <w:abstractNumId w:val="15"/>
  </w:num>
  <w:num w:numId="19" w16cid:durableId="17908546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75"/>
    <w:rsid w:val="00012B43"/>
    <w:rsid w:val="00060FB5"/>
    <w:rsid w:val="0007191E"/>
    <w:rsid w:val="00076F4B"/>
    <w:rsid w:val="00094AA6"/>
    <w:rsid w:val="000E212A"/>
    <w:rsid w:val="00100A89"/>
    <w:rsid w:val="00103C03"/>
    <w:rsid w:val="0011088A"/>
    <w:rsid w:val="00115A3A"/>
    <w:rsid w:val="0012504E"/>
    <w:rsid w:val="00130F98"/>
    <w:rsid w:val="001373ED"/>
    <w:rsid w:val="00173195"/>
    <w:rsid w:val="001A03F8"/>
    <w:rsid w:val="001A2E76"/>
    <w:rsid w:val="001C0398"/>
    <w:rsid w:val="001C181F"/>
    <w:rsid w:val="001C505F"/>
    <w:rsid w:val="0024629B"/>
    <w:rsid w:val="00275B18"/>
    <w:rsid w:val="002B5B1D"/>
    <w:rsid w:val="002C1281"/>
    <w:rsid w:val="0032302C"/>
    <w:rsid w:val="00355CF8"/>
    <w:rsid w:val="0037104C"/>
    <w:rsid w:val="00391DA3"/>
    <w:rsid w:val="003A319A"/>
    <w:rsid w:val="003E0D40"/>
    <w:rsid w:val="003E3AB7"/>
    <w:rsid w:val="00402256"/>
    <w:rsid w:val="00403B60"/>
    <w:rsid w:val="00465461"/>
    <w:rsid w:val="0049158B"/>
    <w:rsid w:val="004933C8"/>
    <w:rsid w:val="00493741"/>
    <w:rsid w:val="004C0D0B"/>
    <w:rsid w:val="004F63FC"/>
    <w:rsid w:val="00502F04"/>
    <w:rsid w:val="00503A90"/>
    <w:rsid w:val="00513427"/>
    <w:rsid w:val="00517A14"/>
    <w:rsid w:val="005966E0"/>
    <w:rsid w:val="005C57CC"/>
    <w:rsid w:val="006058A3"/>
    <w:rsid w:val="0064114C"/>
    <w:rsid w:val="00662B51"/>
    <w:rsid w:val="00676493"/>
    <w:rsid w:val="006A06DC"/>
    <w:rsid w:val="006A3A40"/>
    <w:rsid w:val="006B6CE7"/>
    <w:rsid w:val="006E08E8"/>
    <w:rsid w:val="006E19D2"/>
    <w:rsid w:val="007256DA"/>
    <w:rsid w:val="00730C8E"/>
    <w:rsid w:val="00733E8B"/>
    <w:rsid w:val="00751BEC"/>
    <w:rsid w:val="007538BD"/>
    <w:rsid w:val="00762AE2"/>
    <w:rsid w:val="00782779"/>
    <w:rsid w:val="007868D9"/>
    <w:rsid w:val="007A41E2"/>
    <w:rsid w:val="007B41F3"/>
    <w:rsid w:val="007B6889"/>
    <w:rsid w:val="007F7206"/>
    <w:rsid w:val="0080017E"/>
    <w:rsid w:val="0080437C"/>
    <w:rsid w:val="00833844"/>
    <w:rsid w:val="00836F8F"/>
    <w:rsid w:val="008429CB"/>
    <w:rsid w:val="008A5DB7"/>
    <w:rsid w:val="008A761A"/>
    <w:rsid w:val="008C521D"/>
    <w:rsid w:val="008E2E8D"/>
    <w:rsid w:val="00907860"/>
    <w:rsid w:val="00920EE4"/>
    <w:rsid w:val="00925D31"/>
    <w:rsid w:val="0093102D"/>
    <w:rsid w:val="009352F2"/>
    <w:rsid w:val="009713C8"/>
    <w:rsid w:val="00980CFE"/>
    <w:rsid w:val="00990824"/>
    <w:rsid w:val="00990C80"/>
    <w:rsid w:val="009A0317"/>
    <w:rsid w:val="009D4048"/>
    <w:rsid w:val="00A01BE7"/>
    <w:rsid w:val="00A637A1"/>
    <w:rsid w:val="00AB10AE"/>
    <w:rsid w:val="00AC2375"/>
    <w:rsid w:val="00AD33E1"/>
    <w:rsid w:val="00B12AA2"/>
    <w:rsid w:val="00B72180"/>
    <w:rsid w:val="00B83120"/>
    <w:rsid w:val="00BD6DA3"/>
    <w:rsid w:val="00BD7ED1"/>
    <w:rsid w:val="00BE65ED"/>
    <w:rsid w:val="00C32851"/>
    <w:rsid w:val="00C45207"/>
    <w:rsid w:val="00C455AB"/>
    <w:rsid w:val="00C51EA1"/>
    <w:rsid w:val="00CA0E06"/>
    <w:rsid w:val="00CA1246"/>
    <w:rsid w:val="00CC1702"/>
    <w:rsid w:val="00CD02A5"/>
    <w:rsid w:val="00CD64F4"/>
    <w:rsid w:val="00CE4DCB"/>
    <w:rsid w:val="00D06D64"/>
    <w:rsid w:val="00D24D2D"/>
    <w:rsid w:val="00D25BEB"/>
    <w:rsid w:val="00D651CE"/>
    <w:rsid w:val="00D7753B"/>
    <w:rsid w:val="00D80F31"/>
    <w:rsid w:val="00D821BB"/>
    <w:rsid w:val="00D96FB4"/>
    <w:rsid w:val="00DC28EE"/>
    <w:rsid w:val="00DC2EC9"/>
    <w:rsid w:val="00E12872"/>
    <w:rsid w:val="00E9041F"/>
    <w:rsid w:val="00F85BD5"/>
    <w:rsid w:val="00F85CEE"/>
    <w:rsid w:val="00FA59E0"/>
    <w:rsid w:val="00FF6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70FA12A"/>
  <w15:docId w15:val="{6CBED086-7BB2-48BA-82E3-CA4EBCC68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C2375"/>
    <w:rPr>
      <w:rFonts w:ascii="Technika Light" w:hAnsi="Technika Light"/>
    </w:rPr>
  </w:style>
  <w:style w:type="paragraph" w:styleId="Nadpis1">
    <w:name w:val="heading 1"/>
    <w:basedOn w:val="Normln"/>
    <w:next w:val="Normln"/>
    <w:link w:val="Nadpis1Char"/>
    <w:uiPriority w:val="9"/>
    <w:qFormat/>
    <w:rsid w:val="00D96FB4"/>
    <w:pPr>
      <w:keepNext/>
      <w:keepLines/>
      <w:numPr>
        <w:numId w:val="1"/>
      </w:numPr>
      <w:spacing w:before="240" w:after="0"/>
      <w:outlineLvl w:val="0"/>
    </w:pPr>
    <w:rPr>
      <w:rFonts w:ascii="Technika" w:eastAsiaTheme="majorEastAsia" w:hAnsi="Technika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6FB4"/>
    <w:pPr>
      <w:keepNext/>
      <w:keepLines/>
      <w:numPr>
        <w:ilvl w:val="1"/>
        <w:numId w:val="1"/>
      </w:numPr>
      <w:spacing w:before="40" w:after="0"/>
      <w:outlineLvl w:val="1"/>
    </w:pPr>
    <w:rPr>
      <w:rFonts w:ascii="Technika Book" w:eastAsiaTheme="majorEastAsia" w:hAnsi="Technika Book" w:cstheme="majorBidi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96FB4"/>
    <w:pPr>
      <w:keepNext/>
      <w:keepLines/>
      <w:numPr>
        <w:ilvl w:val="2"/>
        <w:numId w:val="1"/>
      </w:numPr>
      <w:spacing w:before="40" w:after="0"/>
      <w:outlineLvl w:val="2"/>
    </w:pPr>
    <w:rPr>
      <w:rFonts w:ascii="Technika Book" w:eastAsiaTheme="majorEastAsia" w:hAnsi="Technika Book" w:cstheme="majorBidi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C181F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C181F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181F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181F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181F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181F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96FB4"/>
    <w:rPr>
      <w:rFonts w:ascii="Technika" w:eastAsiaTheme="majorEastAsia" w:hAnsi="Technika" w:cstheme="majorBidi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AC2375"/>
    <w:pPr>
      <w:spacing w:after="0" w:line="240" w:lineRule="auto"/>
      <w:contextualSpacing/>
    </w:pPr>
    <w:rPr>
      <w:rFonts w:ascii="Technika" w:eastAsiaTheme="majorEastAsia" w:hAnsi="Technika" w:cstheme="majorBidi"/>
      <w:spacing w:val="-10"/>
      <w:kern w:val="28"/>
      <w:sz w:val="3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C2375"/>
    <w:rPr>
      <w:rFonts w:ascii="Technika" w:eastAsiaTheme="majorEastAsia" w:hAnsi="Technika" w:cstheme="majorBidi"/>
      <w:spacing w:val="-10"/>
      <w:kern w:val="28"/>
      <w:sz w:val="36"/>
      <w:szCs w:val="56"/>
    </w:rPr>
  </w:style>
  <w:style w:type="paragraph" w:styleId="Nadpisobsahu">
    <w:name w:val="TOC Heading"/>
    <w:basedOn w:val="Nadpis1"/>
    <w:next w:val="Normln"/>
    <w:uiPriority w:val="39"/>
    <w:unhideWhenUsed/>
    <w:qFormat/>
    <w:rsid w:val="001C181F"/>
    <w:pPr>
      <w:outlineLvl w:val="9"/>
    </w:pPr>
    <w:rPr>
      <w:rFonts w:asciiTheme="majorHAnsi" w:hAnsiTheme="majorHAnsi"/>
      <w:color w:val="2F5496" w:themeColor="accent1" w:themeShade="BF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D96FB4"/>
    <w:rPr>
      <w:rFonts w:ascii="Technika Book" w:eastAsiaTheme="majorEastAsia" w:hAnsi="Technika Book" w:cstheme="majorBidi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96FB4"/>
    <w:rPr>
      <w:rFonts w:ascii="Technika Book" w:eastAsiaTheme="majorEastAsia" w:hAnsi="Technika Book" w:cstheme="majorBidi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1C181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1C181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181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181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181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181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basedOn w:val="Normln"/>
    <w:uiPriority w:val="34"/>
    <w:qFormat/>
    <w:rsid w:val="003E0D40"/>
    <w:pPr>
      <w:ind w:left="720"/>
      <w:contextualSpacing/>
    </w:pPr>
  </w:style>
  <w:style w:type="character" w:customStyle="1" w:styleId="ab10">
    <w:name w:val="ab10"/>
    <w:basedOn w:val="Standardnpsmoodstavce"/>
    <w:rsid w:val="007B41F3"/>
  </w:style>
  <w:style w:type="character" w:styleId="Siln">
    <w:name w:val="Strong"/>
    <w:basedOn w:val="Standardnpsmoodstavce"/>
    <w:uiPriority w:val="22"/>
    <w:qFormat/>
    <w:rsid w:val="00F85BD5"/>
    <w:rPr>
      <w:b/>
      <w:bCs/>
    </w:rPr>
  </w:style>
  <w:style w:type="paragraph" w:styleId="Obsah1">
    <w:name w:val="toc 1"/>
    <w:basedOn w:val="Normln"/>
    <w:next w:val="Normln"/>
    <w:autoRedefine/>
    <w:uiPriority w:val="39"/>
    <w:unhideWhenUsed/>
    <w:rsid w:val="0012504E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2504E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12504E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83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3120"/>
    <w:rPr>
      <w:rFonts w:ascii="Technika Light" w:hAnsi="Technika Light"/>
    </w:rPr>
  </w:style>
  <w:style w:type="paragraph" w:styleId="Zpat">
    <w:name w:val="footer"/>
    <w:basedOn w:val="Normln"/>
    <w:link w:val="ZpatChar"/>
    <w:uiPriority w:val="99"/>
    <w:unhideWhenUsed/>
    <w:rsid w:val="00B83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83120"/>
    <w:rPr>
      <w:rFonts w:ascii="Technika Light" w:hAnsi="Technika Light"/>
    </w:rPr>
  </w:style>
  <w:style w:type="paragraph" w:styleId="Obsah3">
    <w:name w:val="toc 3"/>
    <w:basedOn w:val="Normln"/>
    <w:next w:val="Normln"/>
    <w:autoRedefine/>
    <w:uiPriority w:val="39"/>
    <w:unhideWhenUsed/>
    <w:rsid w:val="00B83120"/>
    <w:pPr>
      <w:spacing w:after="100"/>
      <w:ind w:left="440"/>
    </w:pPr>
  </w:style>
  <w:style w:type="table" w:customStyle="1" w:styleId="TableNormal">
    <w:name w:val="Table Normal"/>
    <w:rsid w:val="00980CF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sid w:val="00980CF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Narrow" w:eastAsia="Arial Unicode MS" w:hAnsi="Arial Narrow" w:cs="Arial Unicode MS"/>
      <w:color w:val="000000"/>
      <w:u w:color="000000"/>
      <w:bdr w:val="nil"/>
      <w:lang w:eastAsia="cs-CZ"/>
    </w:rPr>
  </w:style>
  <w:style w:type="table" w:styleId="Svtlseznam">
    <w:name w:val="Light List"/>
    <w:basedOn w:val="Normlntabulka"/>
    <w:uiPriority w:val="61"/>
    <w:rsid w:val="00012B43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30F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259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Excel_Worksheet1.xlsx"/><Relationship Id="rId18" Type="http://schemas.openxmlformats.org/officeDocument/2006/relationships/image" Target="media/image5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package" Target="embeddings/Microsoft_Excel_Worksheet3.xlsx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2.xlsx"/><Relationship Id="rId10" Type="http://schemas.openxmlformats.org/officeDocument/2006/relationships/image" Target="media/image1.emf"/><Relationship Id="rId19" Type="http://schemas.openxmlformats.org/officeDocument/2006/relationships/package" Target="embeddings/Microsoft_Excel_Worksheet4.xlsx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390C2-ABCD-4313-870F-E76599EF7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737</Words>
  <Characters>4352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 Pečenka</dc:creator>
  <cp:keywords/>
  <dc:description/>
  <cp:lastModifiedBy>Matěj Pečenka</cp:lastModifiedBy>
  <cp:revision>3</cp:revision>
  <cp:lastPrinted>2023-07-28T08:22:00Z</cp:lastPrinted>
  <dcterms:created xsi:type="dcterms:W3CDTF">2024-05-15T12:05:00Z</dcterms:created>
  <dcterms:modified xsi:type="dcterms:W3CDTF">2024-05-15T12:06:00Z</dcterms:modified>
</cp:coreProperties>
</file>